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028AD3EC"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2A58B4">
        <w:rPr>
          <w:rFonts w:ascii="Helvetica" w:hAnsi="Helvetica" w:cs="Helvetica"/>
          <w:b/>
        </w:rPr>
        <w:t>July 2</w:t>
      </w:r>
      <w:r w:rsidR="00A51D1A">
        <w:rPr>
          <w:rFonts w:ascii="Helvetica" w:hAnsi="Helvetica" w:cs="Helvetica"/>
          <w:b/>
        </w:rPr>
        <w:t>, 2025</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xml:space="preserve">. Note that any questions </w:t>
      </w:r>
      <w:proofErr w:type="gramStart"/>
      <w:r w:rsidRPr="007925C6">
        <w:rPr>
          <w:rFonts w:cs="Helvetica"/>
          <w:sz w:val="20"/>
        </w:rPr>
        <w:t>with regard to</w:t>
      </w:r>
      <w:proofErr w:type="gramEnd"/>
      <w:r w:rsidRPr="007925C6">
        <w:rPr>
          <w:rFonts w:cs="Helvetica"/>
          <w:sz w:val="20"/>
        </w:rPr>
        <w:t xml:space="preserve">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E3B48" w:rsidRDefault="003C4390" w:rsidP="00D67942">
            <w:pPr>
              <w:spacing w:line="240" w:lineRule="atLeast"/>
              <w:jc w:val="center"/>
              <w:rPr>
                <w:rFonts w:ascii="Helvetica" w:hAnsi="Helvetica" w:cs="Helvetica"/>
                <w:b/>
                <w:sz w:val="22"/>
                <w:u w:val="single"/>
              </w:rPr>
            </w:pPr>
          </w:p>
          <w:p w14:paraId="47313AE1"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NAME</w:t>
            </w:r>
          </w:p>
        </w:tc>
        <w:tc>
          <w:tcPr>
            <w:tcW w:w="3690" w:type="dxa"/>
            <w:gridSpan w:val="2"/>
          </w:tcPr>
          <w:p w14:paraId="46ACA959" w14:textId="77777777" w:rsidR="003C4390" w:rsidRPr="007E3B48" w:rsidRDefault="003C4390" w:rsidP="00D67942">
            <w:pPr>
              <w:spacing w:line="240" w:lineRule="atLeast"/>
              <w:jc w:val="center"/>
              <w:rPr>
                <w:rFonts w:ascii="Helvetica" w:hAnsi="Helvetica" w:cs="Helvetica"/>
                <w:b/>
                <w:u w:val="single"/>
              </w:rPr>
            </w:pPr>
          </w:p>
          <w:p w14:paraId="68E98C7A" w14:textId="41F41027" w:rsidR="003C4390" w:rsidRPr="007E3B48" w:rsidRDefault="007E3B48" w:rsidP="00D67942">
            <w:pPr>
              <w:spacing w:line="240" w:lineRule="atLeast"/>
              <w:jc w:val="center"/>
              <w:rPr>
                <w:rFonts w:ascii="Helvetica" w:hAnsi="Helvetica" w:cs="Helvetica"/>
                <w:b/>
                <w:u w:val="single"/>
              </w:rPr>
            </w:pPr>
            <w:r>
              <w:rPr>
                <w:rFonts w:ascii="Helvetica" w:hAnsi="Helvetica" w:cs="Helvetica"/>
                <w:b/>
                <w:u w:val="single"/>
              </w:rPr>
              <w:t>TITLE</w:t>
            </w:r>
          </w:p>
        </w:tc>
        <w:tc>
          <w:tcPr>
            <w:tcW w:w="1800" w:type="dxa"/>
            <w:gridSpan w:val="2"/>
          </w:tcPr>
          <w:p w14:paraId="62BF19A8" w14:textId="77777777" w:rsidR="003C4390" w:rsidRPr="007E3B48" w:rsidRDefault="003C4390" w:rsidP="00D67942">
            <w:pPr>
              <w:spacing w:line="240" w:lineRule="atLeast"/>
              <w:jc w:val="center"/>
              <w:rPr>
                <w:rFonts w:ascii="Helvetica" w:hAnsi="Helvetica" w:cs="Helvetica"/>
                <w:b/>
                <w:sz w:val="22"/>
                <w:u w:val="single"/>
              </w:rPr>
            </w:pPr>
          </w:p>
          <w:p w14:paraId="58482D1A"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TELEPHONE</w:t>
            </w:r>
          </w:p>
        </w:tc>
        <w:tc>
          <w:tcPr>
            <w:tcW w:w="2610" w:type="dxa"/>
          </w:tcPr>
          <w:p w14:paraId="63F72DF0" w14:textId="77777777" w:rsidR="003C4390" w:rsidRPr="007E3B48" w:rsidRDefault="003C4390" w:rsidP="00D67942">
            <w:pPr>
              <w:spacing w:line="240" w:lineRule="atLeast"/>
              <w:jc w:val="center"/>
              <w:rPr>
                <w:rFonts w:ascii="Helvetica" w:hAnsi="Helvetica" w:cs="Helvetica"/>
                <w:b/>
                <w:sz w:val="22"/>
                <w:u w:val="single"/>
              </w:rPr>
            </w:pPr>
          </w:p>
          <w:p w14:paraId="1CAA34D2" w14:textId="11F91510" w:rsidR="003C4390" w:rsidRPr="007E3B48" w:rsidRDefault="00344B09" w:rsidP="00D67942">
            <w:pPr>
              <w:spacing w:line="240" w:lineRule="atLeast"/>
              <w:jc w:val="center"/>
              <w:rPr>
                <w:rFonts w:ascii="Helvetica" w:hAnsi="Helvetica" w:cs="Helvetica"/>
                <w:b/>
                <w:u w:val="single"/>
              </w:rPr>
            </w:pPr>
            <w:r w:rsidRPr="007E3B48">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44B09" w:rsidRPr="007925C6" w14:paraId="233BBE84" w14:textId="77777777" w:rsidTr="00765810">
        <w:tc>
          <w:tcPr>
            <w:tcW w:w="2880" w:type="dxa"/>
            <w:gridSpan w:val="2"/>
          </w:tcPr>
          <w:p w14:paraId="30C1D159" w14:textId="74362D91"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Torkelson, Eric</w:t>
            </w:r>
          </w:p>
          <w:p w14:paraId="049AD225" w14:textId="0A9928E0"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2362277B" w14:textId="0BAB2B0E" w:rsidR="00236167" w:rsidRDefault="00236167" w:rsidP="00D67942">
            <w:pPr>
              <w:tabs>
                <w:tab w:val="left" w:pos="2520"/>
                <w:tab w:val="left" w:pos="4680"/>
                <w:tab w:val="left" w:pos="6480"/>
              </w:tabs>
              <w:spacing w:line="240" w:lineRule="atLeast"/>
              <w:ind w:left="-108"/>
              <w:rPr>
                <w:rFonts w:ascii="Helvetica" w:hAnsi="Helvetica" w:cs="Helvetica"/>
              </w:rPr>
            </w:pPr>
            <w:r>
              <w:rPr>
                <w:rFonts w:ascii="Helvetica" w:hAnsi="Helvetica" w:cs="Helvetica"/>
              </w:rPr>
              <w:t>Deputy General Counsel</w:t>
            </w:r>
          </w:p>
          <w:p w14:paraId="427C768F" w14:textId="1689111C"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6DEABCD0" w14:textId="273B36BD"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(212) 408-6057</w:t>
            </w:r>
          </w:p>
          <w:p w14:paraId="3BDD30BA" w14:textId="07915807"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635032F3" w14:textId="05E523AD"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etorkelson@agltd.com</w:t>
            </w:r>
          </w:p>
          <w:p w14:paraId="2FA3352D" w14:textId="615A6136"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63D56DE8"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53BAF37C"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31B5C4C6"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3D3E9DD4"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DE6580" w:rsidRPr="007925C6" w14:paraId="2F543C70" w14:textId="77777777" w:rsidTr="00765810">
        <w:tc>
          <w:tcPr>
            <w:tcW w:w="2880" w:type="dxa"/>
            <w:gridSpan w:val="2"/>
          </w:tcPr>
          <w:p w14:paraId="16E28B0B" w14:textId="58F8B50D"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Tague, Matthew</w:t>
            </w:r>
          </w:p>
        </w:tc>
        <w:tc>
          <w:tcPr>
            <w:tcW w:w="3690" w:type="dxa"/>
            <w:gridSpan w:val="2"/>
          </w:tcPr>
          <w:p w14:paraId="0BFCF579" w14:textId="644CE10A" w:rsidR="00DE6580" w:rsidRPr="00765810" w:rsidRDefault="00DE6580" w:rsidP="00D67942">
            <w:pPr>
              <w:tabs>
                <w:tab w:val="left" w:pos="2160"/>
                <w:tab w:val="left" w:pos="4680"/>
                <w:tab w:val="left" w:pos="6480"/>
              </w:tabs>
              <w:spacing w:line="240" w:lineRule="atLeast"/>
              <w:ind w:left="-108"/>
              <w:rPr>
                <w:rFonts w:ascii="Helvetica" w:hAnsi="Helvetica" w:cs="Helvetica"/>
              </w:rPr>
            </w:pPr>
            <w:r>
              <w:rPr>
                <w:rFonts w:ascii="Helvetica" w:hAnsi="Helvetica" w:cs="Helvetica"/>
              </w:rPr>
              <w:t>Counsel</w:t>
            </w:r>
          </w:p>
        </w:tc>
        <w:tc>
          <w:tcPr>
            <w:tcW w:w="1782" w:type="dxa"/>
          </w:tcPr>
          <w:p w14:paraId="0261D995" w14:textId="7948922F"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(212) 339-3496</w:t>
            </w:r>
          </w:p>
        </w:tc>
        <w:tc>
          <w:tcPr>
            <w:tcW w:w="2610" w:type="dxa"/>
          </w:tcPr>
          <w:p w14:paraId="7EE4EC90" w14:textId="1C8CA7A8"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mtague@agltd.com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bookmarkStart w:id="1" w:name="OLE_LINK13"/>
            <w:r w:rsidRPr="00765810">
              <w:rPr>
                <w:rFonts w:ascii="Helvetica" w:hAnsi="Helvetica" w:cs="Helvetica"/>
              </w:rPr>
              <w:t>ncinquegrana@agltd.com</w:t>
            </w:r>
            <w:bookmarkEnd w:id="1"/>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bookmarkStart w:id="2" w:name="OLE_LINK15"/>
            <w:r w:rsidRPr="00765810">
              <w:rPr>
                <w:rFonts w:ascii="Helvetica" w:hAnsi="Helvetica" w:cs="Helvetica"/>
              </w:rPr>
              <w:t>afreeman@agltd.com</w:t>
            </w:r>
            <w:bookmarkEnd w:id="2"/>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5548E91"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bookmarkStart w:id="3" w:name="OLE_LINK14"/>
            <w:r w:rsidRPr="00765810">
              <w:rPr>
                <w:rFonts w:ascii="Helvetica" w:hAnsi="Helvetica" w:cs="Helvetica"/>
              </w:rPr>
              <w:t>audit-adler@agltd.com</w:t>
            </w:r>
            <w:bookmarkEnd w:id="3"/>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68395177" w:rsidR="003C4390" w:rsidRPr="007D0BF7" w:rsidRDefault="00D42F33" w:rsidP="003713B7">
      <w:pPr>
        <w:numPr>
          <w:ilvl w:val="0"/>
          <w:numId w:val="2"/>
        </w:numPr>
        <w:spacing w:line="240" w:lineRule="atLeast"/>
        <w:ind w:right="540"/>
        <w:jc w:val="both"/>
        <w:rPr>
          <w:rFonts w:ascii="Helvetica" w:hAnsi="Helvetica" w:cs="Helvetica"/>
          <w:b/>
        </w:rPr>
      </w:pPr>
      <w:r>
        <w:rPr>
          <w:rFonts w:ascii="Helvetica" w:hAnsi="Helvetica" w:cs="Helvetica"/>
          <w:b/>
        </w:rPr>
        <w:t>The</w:t>
      </w:r>
      <w:r w:rsidR="003C4390" w:rsidRPr="007D0BF7">
        <w:rPr>
          <w:rFonts w:ascii="Helvetica" w:hAnsi="Helvetica" w:cs="Helvetica"/>
          <w:b/>
        </w:rPr>
        <w:t xml:space="preserve"> preliminary and final official statements</w:t>
      </w:r>
      <w:r>
        <w:rPr>
          <w:rFonts w:ascii="Helvetica" w:hAnsi="Helvetica" w:cs="Helvetica"/>
          <w:b/>
        </w:rPr>
        <w:t>, as applicable,</w:t>
      </w:r>
      <w:r w:rsidR="003C4390" w:rsidRPr="007D0BF7">
        <w:rPr>
          <w:rFonts w:ascii="Helvetica" w:hAnsi="Helvetica" w:cs="Helvetica"/>
          <w:b/>
        </w:rPr>
        <w:t xml:space="preserve"> must contain the </w:t>
      </w:r>
      <w:r w:rsidR="0001525B" w:rsidRPr="007D0BF7">
        <w:rPr>
          <w:rFonts w:ascii="Helvetica" w:hAnsi="Helvetica" w:cs="Helvetica"/>
          <w:b/>
        </w:rPr>
        <w:t>information</w:t>
      </w:r>
      <w:r w:rsidR="003C4390" w:rsidRPr="007D0BF7">
        <w:rPr>
          <w:rFonts w:ascii="Helvetica" w:hAnsi="Helvetica" w:cs="Helvetica"/>
          <w:b/>
        </w:rPr>
        <w:t xml:space="preserve"> set forth in </w:t>
      </w:r>
      <w:r>
        <w:rPr>
          <w:rFonts w:ascii="Helvetica" w:hAnsi="Helvetica" w:cs="Helvetica"/>
          <w:b/>
        </w:rPr>
        <w:t>this Exhibit 1</w:t>
      </w:r>
      <w:r w:rsidR="003C4390" w:rsidRPr="007D0BF7">
        <w:rPr>
          <w:rFonts w:ascii="Helvetica" w:hAnsi="Helvetica" w:cs="Helvetica"/>
          <w:b/>
        </w:rPr>
        <w:t xml:space="preserve"> and </w:t>
      </w:r>
      <w:r w:rsidR="003716DB">
        <w:rPr>
          <w:rFonts w:ascii="Helvetica" w:hAnsi="Helvetica" w:cs="Helvetica"/>
          <w:b/>
        </w:rPr>
        <w:t>AG</w:t>
      </w:r>
      <w:r w:rsidR="002C7541">
        <w:rPr>
          <w:rFonts w:ascii="Helvetica" w:hAnsi="Helvetica" w:cs="Helvetica"/>
          <w:b/>
        </w:rPr>
        <w:t xml:space="preserve"> </w:t>
      </w:r>
      <w:r w:rsidR="003C4390" w:rsidRPr="007D0BF7">
        <w:rPr>
          <w:rFonts w:ascii="Helvetica" w:hAnsi="Helvetica" w:cs="Helvetica"/>
          <w:b/>
        </w:rPr>
        <w:t xml:space="preserve">must be provided with final drafts for its approval and sign off thereon at least two business days prior to the printing </w:t>
      </w:r>
      <w:proofErr w:type="gramStart"/>
      <w:r w:rsidR="003C4390" w:rsidRPr="007D0BF7">
        <w:rPr>
          <w:rFonts w:ascii="Helvetica" w:hAnsi="Helvetica" w:cs="Helvetica"/>
          <w:b/>
        </w:rPr>
        <w:t>thereof;</w:t>
      </w:r>
      <w:proofErr w:type="gramEnd"/>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FB7F09D" w:rsidR="003C4390" w:rsidRPr="007D0BF7" w:rsidRDefault="003C4390" w:rsidP="00D67942">
      <w:pPr>
        <w:spacing w:line="240" w:lineRule="atLeast"/>
        <w:rPr>
          <w:rFonts w:ascii="Helvetica" w:hAnsi="Helvetica" w:cs="Helvetica"/>
          <w:b/>
        </w:rPr>
      </w:pPr>
      <w:r w:rsidRPr="007D0BF7">
        <w:rPr>
          <w:rFonts w:ascii="Helvetica" w:hAnsi="Helvetica" w:cs="Helvetica"/>
          <w:b/>
        </w:rPr>
        <w:t>The following language should be used when insuring</w:t>
      </w:r>
      <w:r w:rsidR="00D42F33">
        <w:rPr>
          <w:rFonts w:ascii="Helvetica" w:hAnsi="Helvetica" w:cs="Helvetica"/>
          <w:b/>
        </w:rPr>
        <w:t xml:space="preserve"> (with appropriate definitional conforming changes, as necessary)</w:t>
      </w:r>
      <w:r w:rsidRPr="007D0BF7">
        <w:rPr>
          <w:rFonts w:ascii="Helvetica" w:hAnsi="Helvetica" w:cs="Helvetica"/>
          <w:b/>
        </w:rPr>
        <w:t xml:space="preserve">: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825901" w:rsidP="00D67942">
      <w:pPr>
        <w:spacing w:line="240" w:lineRule="atLeast"/>
        <w:jc w:val="center"/>
        <w:rPr>
          <w:rStyle w:val="Hyperlink"/>
          <w:rFonts w:ascii="Helvetica" w:hAnsi="Helvetica" w:cs="Helvetica"/>
          <w:b/>
        </w:rPr>
      </w:pPr>
      <w:hyperlink r:id="rId12" w:history="1">
        <w:r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39B7EC88"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w:t>
      </w:r>
      <w:r w:rsidR="00D42F33">
        <w:rPr>
          <w:rFonts w:ascii="Helvetica" w:hAnsi="Helvetica" w:cs="Helvetica"/>
          <w:b/>
        </w:rPr>
        <w:t xml:space="preserve">this </w:t>
      </w:r>
      <w:r w:rsidRPr="007925C6">
        <w:rPr>
          <w:rFonts w:ascii="Helvetica" w:hAnsi="Helvetica" w:cs="Helvetica"/>
          <w:b/>
        </w:rPr>
        <w:t>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7EAA2B29" w14:textId="77777777" w:rsidR="00B57ADE" w:rsidRPr="00B251CE" w:rsidRDefault="00B57ADE" w:rsidP="00B57ADE">
      <w:pPr>
        <w:spacing w:after="240"/>
        <w:ind w:left="187"/>
        <w:jc w:val="center"/>
        <w:rPr>
          <w:rFonts w:ascii="Helvetica" w:hAnsi="Helvetica" w:cs="Helvetica"/>
          <w:b/>
        </w:rPr>
      </w:pPr>
      <w:bookmarkStart w:id="4" w:name="OLE_LINK11"/>
      <w:r w:rsidRPr="00B251CE">
        <w:rPr>
          <w:rFonts w:ascii="Helvetica" w:hAnsi="Helvetica" w:cs="Helvetica"/>
          <w:b/>
        </w:rPr>
        <w:t>BOND INSURANCE</w:t>
      </w:r>
    </w:p>
    <w:p w14:paraId="6146BA21" w14:textId="77777777" w:rsidR="00B57ADE" w:rsidRPr="00B251CE" w:rsidRDefault="00B57ADE" w:rsidP="00B57ADE">
      <w:pPr>
        <w:tabs>
          <w:tab w:val="left" w:pos="720"/>
          <w:tab w:val="num" w:pos="3600"/>
        </w:tabs>
        <w:jc w:val="both"/>
        <w:rPr>
          <w:rFonts w:ascii="Helvetica" w:hAnsi="Helvetica" w:cs="Helvetica"/>
          <w:b/>
        </w:rPr>
      </w:pPr>
      <w:r w:rsidRPr="00B251CE">
        <w:rPr>
          <w:rFonts w:ascii="Helvetica" w:hAnsi="Helvetica" w:cs="Helvetica"/>
          <w:b/>
        </w:rPr>
        <w:t>Bond Insurance Policy</w:t>
      </w:r>
    </w:p>
    <w:p w14:paraId="715F761A" w14:textId="77777777" w:rsidR="00B57ADE" w:rsidRPr="00B251CE" w:rsidRDefault="00B57ADE" w:rsidP="00B57ADE">
      <w:pPr>
        <w:tabs>
          <w:tab w:val="left" w:pos="720"/>
          <w:tab w:val="num" w:pos="3600"/>
        </w:tabs>
        <w:jc w:val="both"/>
        <w:rPr>
          <w:rFonts w:ascii="Helvetica" w:hAnsi="Helvetica" w:cs="Helvetica"/>
          <w:bCs/>
        </w:rPr>
      </w:pPr>
    </w:p>
    <w:p w14:paraId="7642B5C8" w14:textId="77777777" w:rsidR="00B57ADE" w:rsidRPr="00B251CE" w:rsidRDefault="00B57ADE" w:rsidP="00B57AD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7844C10C" w14:textId="77777777" w:rsidR="00B57ADE" w:rsidRPr="00B251CE" w:rsidRDefault="00B57ADE" w:rsidP="00B57ADE">
      <w:pPr>
        <w:tabs>
          <w:tab w:val="left" w:pos="720"/>
          <w:tab w:val="num" w:pos="3600"/>
        </w:tabs>
        <w:jc w:val="both"/>
        <w:rPr>
          <w:rFonts w:ascii="Helvetica" w:hAnsi="Helvetica" w:cs="Helvetica"/>
        </w:rPr>
      </w:pPr>
    </w:p>
    <w:p w14:paraId="00AEF242" w14:textId="77777777" w:rsidR="00B57ADE" w:rsidRPr="00B251CE" w:rsidRDefault="00B57ADE" w:rsidP="00B57ADE">
      <w:pPr>
        <w:tabs>
          <w:tab w:val="left" w:pos="1440"/>
        </w:tabs>
        <w:ind w:firstLine="720"/>
        <w:jc w:val="both"/>
        <w:rPr>
          <w:rFonts w:ascii="Helvetica" w:hAnsi="Helvetica" w:cs="Helvetica"/>
        </w:rPr>
      </w:pPr>
      <w:bookmarkStart w:id="5" w:name="OLE_LINK1"/>
      <w:r w:rsidRPr="00B251CE">
        <w:rPr>
          <w:rFonts w:ascii="Helvetica" w:hAnsi="Helvetica" w:cs="Helvetica"/>
        </w:rPr>
        <w:t>The Policy is not covered by any insurance security or guaranty fund established under New York, Maryland, California, Connecticut or Florida insurance law.</w:t>
      </w:r>
      <w:bookmarkStart w:id="6" w:name="OLE_LINK3"/>
      <w:bookmarkEnd w:id="5"/>
    </w:p>
    <w:p w14:paraId="52907C0F" w14:textId="77777777" w:rsidR="00B57ADE" w:rsidRPr="00B251CE" w:rsidRDefault="00B57ADE" w:rsidP="00B57ADE">
      <w:pPr>
        <w:jc w:val="both"/>
        <w:rPr>
          <w:rFonts w:ascii="Helvetica" w:hAnsi="Helvetica" w:cs="Helvetica"/>
        </w:rPr>
      </w:pPr>
    </w:p>
    <w:p w14:paraId="0BF41A21" w14:textId="77777777" w:rsidR="00B57ADE" w:rsidRPr="00B251CE" w:rsidRDefault="00B57ADE" w:rsidP="00B57ADE">
      <w:pPr>
        <w:tabs>
          <w:tab w:val="left" w:pos="1440"/>
        </w:tabs>
        <w:jc w:val="both"/>
        <w:rPr>
          <w:rFonts w:ascii="Helvetica" w:hAnsi="Helvetica" w:cs="Helvetica"/>
          <w:b/>
          <w:bCs/>
        </w:rPr>
      </w:pPr>
      <w:r w:rsidRPr="00B251CE">
        <w:rPr>
          <w:rFonts w:ascii="Helvetica" w:hAnsi="Helvetica" w:cs="Helvetica"/>
          <w:b/>
          <w:bCs/>
        </w:rPr>
        <w:t>Assured Guaranty Inc.</w:t>
      </w:r>
    </w:p>
    <w:p w14:paraId="2E9B184A" w14:textId="77777777" w:rsidR="00B57ADE" w:rsidRPr="00B251CE" w:rsidRDefault="00B57ADE" w:rsidP="00B57ADE">
      <w:pPr>
        <w:tabs>
          <w:tab w:val="left" w:pos="1440"/>
        </w:tabs>
        <w:jc w:val="both"/>
        <w:rPr>
          <w:rFonts w:ascii="Helvetica" w:hAnsi="Helvetica" w:cs="Helvetica"/>
        </w:rPr>
      </w:pPr>
    </w:p>
    <w:p w14:paraId="0EFFA07C"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7FBC611A" w14:textId="77777777" w:rsidR="00B57ADE" w:rsidRPr="00B251CE" w:rsidRDefault="00B57ADE" w:rsidP="00B57ADE">
      <w:pPr>
        <w:jc w:val="both"/>
        <w:rPr>
          <w:rFonts w:ascii="Helvetica" w:hAnsi="Helvetica" w:cs="Helvetica"/>
          <w:color w:val="000000"/>
        </w:rPr>
      </w:pPr>
    </w:p>
    <w:p w14:paraId="78E61B27"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2EAC98FC" w14:textId="77777777" w:rsidR="00B57ADE" w:rsidRPr="00B251CE" w:rsidRDefault="00B57ADE" w:rsidP="00B57ADE">
      <w:pPr>
        <w:jc w:val="both"/>
        <w:rPr>
          <w:rFonts w:ascii="Helvetica" w:hAnsi="Helvetica" w:cs="Helvetica"/>
          <w:color w:val="000000"/>
        </w:rPr>
      </w:pPr>
    </w:p>
    <w:p w14:paraId="2E75D217" w14:textId="77777777" w:rsidR="00B57ADE" w:rsidRPr="00B251CE" w:rsidRDefault="00B57ADE" w:rsidP="00B57ADE">
      <w:pPr>
        <w:jc w:val="both"/>
        <w:rPr>
          <w:rFonts w:ascii="Helvetica" w:hAnsi="Helvetica" w:cs="Helvetica"/>
          <w:i/>
          <w:iCs/>
        </w:rPr>
      </w:pPr>
      <w:bookmarkStart w:id="7" w:name="OLE_LINK33"/>
      <w:r w:rsidRPr="00B251CE">
        <w:rPr>
          <w:rFonts w:ascii="Helvetica" w:hAnsi="Helvetica" w:cs="Helvetica"/>
          <w:i/>
          <w:iCs/>
        </w:rPr>
        <w:t>Merger of Assured Guaranty Municipal Corp. Into Assured Guaranty Inc.</w:t>
      </w:r>
      <w:bookmarkEnd w:id="7"/>
    </w:p>
    <w:p w14:paraId="79098E53" w14:textId="77777777" w:rsidR="00B57ADE" w:rsidRPr="00B251CE" w:rsidRDefault="00B57ADE" w:rsidP="00B57ADE">
      <w:pPr>
        <w:contextualSpacing/>
        <w:jc w:val="both"/>
        <w:rPr>
          <w:rFonts w:ascii="Helvetica" w:hAnsi="Helvetica" w:cs="Helvetica"/>
          <w:b/>
          <w:bCs/>
        </w:rPr>
      </w:pPr>
    </w:p>
    <w:p w14:paraId="7EA5FB69" w14:textId="77777777" w:rsidR="00B57ADE" w:rsidRPr="00B251CE" w:rsidRDefault="00B57ADE" w:rsidP="00B57ADE">
      <w:pPr>
        <w:ind w:firstLine="547"/>
        <w:jc w:val="both"/>
        <w:rPr>
          <w:rFonts w:ascii="Helvetica" w:hAnsi="Helvetica" w:cs="Helvetica"/>
        </w:rPr>
      </w:pPr>
      <w:r w:rsidRPr="00B251CE">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40AAF5B0" w14:textId="77777777" w:rsidR="00B57ADE" w:rsidRPr="00B251CE" w:rsidRDefault="00B57ADE" w:rsidP="00B57ADE">
      <w:pPr>
        <w:contextualSpacing/>
        <w:jc w:val="both"/>
        <w:rPr>
          <w:rFonts w:ascii="Helvetica" w:hAnsi="Helvetica" w:cs="Helvetica"/>
        </w:rPr>
      </w:pPr>
    </w:p>
    <w:p w14:paraId="79A0353B" w14:textId="77777777" w:rsidR="00B57ADE" w:rsidRPr="00B251CE" w:rsidRDefault="00B57ADE" w:rsidP="00B57ADE">
      <w:pPr>
        <w:jc w:val="both"/>
        <w:rPr>
          <w:rFonts w:ascii="Helvetica" w:hAnsi="Helvetica" w:cs="Helvetica"/>
          <w:i/>
        </w:rPr>
      </w:pPr>
      <w:bookmarkStart w:id="8" w:name="OLE_LINK8"/>
      <w:bookmarkStart w:id="9" w:name="OLE_LINK7"/>
      <w:r w:rsidRPr="00B251CE">
        <w:rPr>
          <w:rFonts w:ascii="Helvetica" w:hAnsi="Helvetica" w:cs="Helvetica"/>
          <w:i/>
        </w:rPr>
        <w:lastRenderedPageBreak/>
        <w:t>Current Financial Strength Ratings</w:t>
      </w:r>
      <w:bookmarkStart w:id="10" w:name="OLE_LINK6"/>
      <w:bookmarkStart w:id="11" w:name="OLE_LINK5"/>
      <w:bookmarkStart w:id="12" w:name="OLE_LINK4"/>
      <w:bookmarkStart w:id="13" w:name="OLE_LINK2"/>
      <w:bookmarkEnd w:id="8"/>
      <w:bookmarkEnd w:id="9"/>
    </w:p>
    <w:p w14:paraId="1226FF8A" w14:textId="77777777" w:rsidR="00B57ADE" w:rsidRPr="004C7EAF" w:rsidRDefault="00B57ADE" w:rsidP="00B57ADE">
      <w:pPr>
        <w:jc w:val="both"/>
        <w:rPr>
          <w:rFonts w:ascii="Helvetica" w:hAnsi="Helvetica" w:cs="Helvetica"/>
          <w:iCs/>
        </w:rPr>
      </w:pPr>
      <w:bookmarkStart w:id="14" w:name="OLE_LINK10"/>
    </w:p>
    <w:bookmarkEnd w:id="14"/>
    <w:p w14:paraId="1EEA2DA8" w14:textId="578BF844" w:rsidR="002A58B4" w:rsidRDefault="002A58B4" w:rsidP="00B57ADE">
      <w:pPr>
        <w:ind w:firstLine="720"/>
        <w:jc w:val="both"/>
        <w:rPr>
          <w:rFonts w:ascii="Arial" w:hAnsi="Arial" w:cs="Arial"/>
        </w:rPr>
      </w:pPr>
      <w:r>
        <w:rPr>
          <w:rFonts w:ascii="Helvetica" w:hAnsi="Helvetica" w:cs="Helvetica"/>
        </w:rPr>
        <w:t>On Ju</w:t>
      </w:r>
      <w:r w:rsidR="001C574A">
        <w:rPr>
          <w:rFonts w:ascii="Helvetica" w:hAnsi="Helvetica" w:cs="Helvetica"/>
        </w:rPr>
        <w:t>ne 30</w:t>
      </w:r>
      <w:r>
        <w:rPr>
          <w:rFonts w:ascii="Helvetica" w:hAnsi="Helvetica" w:cs="Helvetica"/>
        </w:rPr>
        <w:t>, 2025, S&amp;P announced</w:t>
      </w:r>
      <w:r w:rsidR="00390B17">
        <w:rPr>
          <w:rFonts w:ascii="Helvetica" w:hAnsi="Helvetica" w:cs="Helvetica"/>
        </w:rPr>
        <w:t xml:space="preserve"> that</w:t>
      </w:r>
      <w:r>
        <w:rPr>
          <w:rFonts w:ascii="Helvetica" w:hAnsi="Helvetica" w:cs="Helvetica"/>
        </w:rPr>
        <w:t xml:space="preserve"> it had affirmed AG’s financial strength rating of “AA” (stable outlook).</w:t>
      </w:r>
    </w:p>
    <w:p w14:paraId="55DF6360" w14:textId="77777777" w:rsidR="002A58B4" w:rsidRDefault="002A58B4" w:rsidP="00B57ADE">
      <w:pPr>
        <w:ind w:firstLine="720"/>
        <w:jc w:val="both"/>
        <w:rPr>
          <w:rFonts w:ascii="Arial" w:hAnsi="Arial" w:cs="Arial"/>
        </w:rPr>
      </w:pPr>
    </w:p>
    <w:p w14:paraId="7D260235" w14:textId="12FC8C9E" w:rsidR="00B57ADE" w:rsidRPr="00B251CE" w:rsidRDefault="00B57ADE" w:rsidP="00B57ADE">
      <w:pPr>
        <w:ind w:firstLine="720"/>
        <w:jc w:val="both"/>
        <w:rPr>
          <w:rFonts w:ascii="Arial" w:hAnsi="Arial" w:cs="Arial"/>
        </w:rPr>
      </w:pPr>
      <w:r w:rsidRPr="00B251CE">
        <w:rPr>
          <w:rFonts w:ascii="Arial" w:hAnsi="Arial" w:cs="Arial"/>
        </w:rPr>
        <w:t>On October 18, 2024, KBRA announced</w:t>
      </w:r>
      <w:r w:rsidR="00390B17">
        <w:rPr>
          <w:rFonts w:ascii="Arial" w:hAnsi="Arial" w:cs="Arial"/>
        </w:rPr>
        <w:t xml:space="preserve"> that</w:t>
      </w:r>
      <w:r w:rsidRPr="00B251CE">
        <w:rPr>
          <w:rFonts w:ascii="Arial" w:hAnsi="Arial" w:cs="Arial"/>
        </w:rPr>
        <w:t xml:space="preserve"> it had affirmed AG’s insurance financial strength rating of “AA+” (stable outlook). </w:t>
      </w:r>
    </w:p>
    <w:p w14:paraId="362FAA7C" w14:textId="77777777" w:rsidR="00B57ADE" w:rsidRPr="00B251CE" w:rsidRDefault="00B57ADE" w:rsidP="00B57ADE">
      <w:pPr>
        <w:jc w:val="both"/>
        <w:rPr>
          <w:rFonts w:ascii="Helvetica" w:hAnsi="Helvetica" w:cs="Helvetica"/>
        </w:rPr>
      </w:pPr>
    </w:p>
    <w:p w14:paraId="5DAC1B01" w14:textId="77777777" w:rsidR="00B57ADE" w:rsidRPr="00B251CE" w:rsidRDefault="00B57ADE" w:rsidP="00B57ADE">
      <w:pPr>
        <w:ind w:firstLine="720"/>
        <w:jc w:val="both"/>
        <w:rPr>
          <w:rFonts w:ascii="Helvetica" w:hAnsi="Helvetica" w:cs="Helvetica"/>
        </w:rPr>
      </w:pPr>
      <w:r w:rsidRPr="00B251CE">
        <w:rPr>
          <w:rFonts w:ascii="Helvetica" w:hAnsi="Helvetica" w:cs="Helvetica"/>
        </w:rPr>
        <w:t xml:space="preserve">On July 10, 2024, Moody’s, </w:t>
      </w:r>
      <w:r w:rsidRPr="00B251CE">
        <w:rPr>
          <w:rFonts w:ascii="Arial" w:hAnsi="Arial" w:cs="Arial"/>
        </w:rPr>
        <w:t xml:space="preserve">following Assured Guaranty’s announcement of the Merger, </w:t>
      </w:r>
      <w:r w:rsidRPr="00B251CE">
        <w:rPr>
          <w:rFonts w:ascii="Helvetica" w:hAnsi="Helvetica" w:cs="Helvetica"/>
        </w:rPr>
        <w:t>announced that it had affirmed AG’s insurance financial strength rating of “A1” (stable outlook).</w:t>
      </w:r>
    </w:p>
    <w:p w14:paraId="5CC90CD3" w14:textId="77777777" w:rsidR="00B57ADE" w:rsidRPr="00B251CE" w:rsidRDefault="00B57ADE" w:rsidP="00B57ADE">
      <w:pPr>
        <w:jc w:val="both"/>
        <w:rPr>
          <w:rFonts w:ascii="Helvetica" w:hAnsi="Helvetica" w:cs="Helvetica"/>
        </w:rPr>
      </w:pPr>
    </w:p>
    <w:bookmarkEnd w:id="10"/>
    <w:bookmarkEnd w:id="11"/>
    <w:bookmarkEnd w:id="12"/>
    <w:bookmarkEnd w:id="13"/>
    <w:p w14:paraId="27FDE547" w14:textId="77777777" w:rsidR="00B57ADE" w:rsidRPr="00AE6076" w:rsidRDefault="00B57ADE" w:rsidP="00B57ADE">
      <w:pPr>
        <w:ind w:firstLine="720"/>
        <w:jc w:val="both"/>
        <w:rPr>
          <w:rFonts w:ascii="Helvetica" w:hAnsi="Helvetica" w:cs="Helvetica"/>
        </w:rPr>
      </w:pPr>
      <w:r w:rsidRPr="00AE6076">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2024.</w:t>
      </w:r>
    </w:p>
    <w:p w14:paraId="52519A7A" w14:textId="77777777" w:rsidR="00B57ADE" w:rsidRPr="00AE6076" w:rsidRDefault="00B57ADE" w:rsidP="00B57ADE">
      <w:pPr>
        <w:jc w:val="both"/>
        <w:rPr>
          <w:rFonts w:ascii="Helvetica" w:hAnsi="Helvetica" w:cs="Helvetica"/>
          <w:i/>
          <w:iCs/>
        </w:rPr>
      </w:pPr>
    </w:p>
    <w:p w14:paraId="1FA01150" w14:textId="77777777" w:rsidR="00B57ADE" w:rsidRPr="00AE6076" w:rsidRDefault="00B57ADE" w:rsidP="00B57ADE">
      <w:pPr>
        <w:jc w:val="both"/>
        <w:rPr>
          <w:rFonts w:ascii="Helvetica" w:hAnsi="Helvetica" w:cs="Helvetica"/>
          <w:i/>
          <w:iCs/>
        </w:rPr>
      </w:pPr>
      <w:bookmarkStart w:id="15" w:name="OLE_LINK12"/>
      <w:r w:rsidRPr="00AE6076">
        <w:rPr>
          <w:rFonts w:ascii="Helvetica" w:hAnsi="Helvetica" w:cs="Helvetica"/>
          <w:i/>
          <w:iCs/>
        </w:rPr>
        <w:t xml:space="preserve">Capitalization of </w:t>
      </w:r>
      <w:bookmarkStart w:id="16" w:name="_DV_M17"/>
      <w:bookmarkEnd w:id="16"/>
      <w:r w:rsidRPr="00AE6076">
        <w:rPr>
          <w:rFonts w:ascii="Helvetica" w:hAnsi="Helvetica" w:cs="Helvetica"/>
          <w:i/>
          <w:iCs/>
        </w:rPr>
        <w:t>AG</w:t>
      </w:r>
    </w:p>
    <w:p w14:paraId="5AC4FF7B" w14:textId="77777777" w:rsidR="00B57ADE" w:rsidRPr="00AE6076" w:rsidRDefault="00B57ADE" w:rsidP="00B57ADE">
      <w:pPr>
        <w:jc w:val="both"/>
        <w:rPr>
          <w:rFonts w:ascii="Helvetica" w:hAnsi="Helvetica" w:cs="Helvetica"/>
          <w:i/>
          <w:iCs/>
        </w:rPr>
      </w:pPr>
    </w:p>
    <w:p w14:paraId="5289EE38" w14:textId="1EAE9662" w:rsidR="00B57ADE" w:rsidRPr="00AE6076" w:rsidRDefault="00B57ADE" w:rsidP="00B57ADE">
      <w:pPr>
        <w:keepNext/>
        <w:ind w:left="187" w:firstLine="533"/>
        <w:jc w:val="both"/>
        <w:rPr>
          <w:rFonts w:ascii="Helvetica" w:hAnsi="Helvetica" w:cs="Helvetica"/>
        </w:rPr>
      </w:pPr>
      <w:proofErr w:type="gramStart"/>
      <w:r w:rsidRPr="00AE6076">
        <w:rPr>
          <w:rFonts w:ascii="Helvetica" w:hAnsi="Helvetica" w:cs="Helvetica"/>
        </w:rPr>
        <w:t>At</w:t>
      </w:r>
      <w:proofErr w:type="gramEnd"/>
      <w:r w:rsidRPr="00AE6076">
        <w:rPr>
          <w:rFonts w:ascii="Helvetica" w:hAnsi="Helvetica" w:cs="Helvetica"/>
        </w:rPr>
        <w:t xml:space="preserve"> </w:t>
      </w:r>
      <w:r w:rsidR="00BF32E1">
        <w:rPr>
          <w:rFonts w:ascii="Helvetica" w:hAnsi="Helvetica" w:cs="Helvetica"/>
        </w:rPr>
        <w:t>March 31, 2025</w:t>
      </w:r>
      <w:r w:rsidRPr="00AE6076">
        <w:rPr>
          <w:rFonts w:ascii="Helvetica" w:hAnsi="Helvetica" w:cs="Helvetica"/>
        </w:rPr>
        <w:t>:</w:t>
      </w:r>
    </w:p>
    <w:p w14:paraId="1084C0B3" w14:textId="77777777" w:rsidR="00B57ADE" w:rsidRPr="00AE6076" w:rsidRDefault="00B57ADE" w:rsidP="00B57ADE">
      <w:pPr>
        <w:keepNext/>
        <w:ind w:left="180" w:firstLine="533"/>
        <w:jc w:val="both"/>
        <w:rPr>
          <w:rFonts w:ascii="Helvetica" w:hAnsi="Helvetica" w:cs="Helvetica"/>
        </w:rPr>
      </w:pPr>
    </w:p>
    <w:p w14:paraId="4FE14B26" w14:textId="710C8A99" w:rsidR="00B57ADE" w:rsidRPr="00AE6076" w:rsidRDefault="00B57ADE" w:rsidP="00B57ADE">
      <w:pPr>
        <w:numPr>
          <w:ilvl w:val="0"/>
          <w:numId w:val="14"/>
        </w:numPr>
        <w:ind w:firstLine="360"/>
        <w:jc w:val="both"/>
        <w:rPr>
          <w:rFonts w:ascii="Helvetica" w:hAnsi="Helvetica" w:cs="Helvetica"/>
        </w:rPr>
      </w:pPr>
      <w:r w:rsidRPr="00AE6076">
        <w:rPr>
          <w:rFonts w:ascii="Helvetica" w:hAnsi="Helvetica" w:cs="Helvetica"/>
        </w:rPr>
        <w:t>The policyholders’ surplus of AG was approximately $</w:t>
      </w:r>
      <w:r w:rsidR="00C01471">
        <w:rPr>
          <w:rFonts w:ascii="Helvetica" w:hAnsi="Helvetica" w:cs="Helvetica"/>
        </w:rPr>
        <w:t>3,522</w:t>
      </w:r>
      <w:r w:rsidRPr="00AE6076">
        <w:rPr>
          <w:rFonts w:ascii="Helvetica" w:hAnsi="Helvetica" w:cs="Helvetica"/>
        </w:rPr>
        <w:t xml:space="preserve"> million.</w:t>
      </w:r>
    </w:p>
    <w:p w14:paraId="110CCC85" w14:textId="77777777" w:rsidR="00B57ADE" w:rsidRPr="00AE6076" w:rsidRDefault="00B57ADE" w:rsidP="00B57ADE">
      <w:pPr>
        <w:ind w:left="900" w:firstLine="533"/>
        <w:jc w:val="both"/>
        <w:rPr>
          <w:rFonts w:ascii="Helvetica" w:hAnsi="Helvetica" w:cs="Helvetica"/>
        </w:rPr>
      </w:pPr>
    </w:p>
    <w:p w14:paraId="330ECA62" w14:textId="058A7E69" w:rsidR="00B57ADE" w:rsidRDefault="00B57ADE" w:rsidP="00B57ADE">
      <w:pPr>
        <w:numPr>
          <w:ilvl w:val="0"/>
          <w:numId w:val="14"/>
        </w:numPr>
        <w:ind w:firstLine="360"/>
        <w:jc w:val="both"/>
        <w:rPr>
          <w:rFonts w:ascii="Helvetica" w:hAnsi="Helvetica" w:cs="Helvetica"/>
        </w:rPr>
      </w:pPr>
      <w:r w:rsidRPr="00AE6076">
        <w:rPr>
          <w:rFonts w:ascii="Helvetica" w:hAnsi="Helvetica" w:cs="Helvetica"/>
        </w:rPr>
        <w:t>The contingency reserve of AG was approximately $</w:t>
      </w:r>
      <w:r w:rsidR="00C01471">
        <w:rPr>
          <w:rFonts w:ascii="Helvetica" w:hAnsi="Helvetica" w:cs="Helvetica"/>
        </w:rPr>
        <w:t>1,421</w:t>
      </w:r>
      <w:r>
        <w:rPr>
          <w:rFonts w:ascii="Helvetica" w:hAnsi="Helvetica" w:cs="Helvetica"/>
        </w:rPr>
        <w:t xml:space="preserve"> </w:t>
      </w:r>
      <w:r w:rsidRPr="00AE6076">
        <w:rPr>
          <w:rFonts w:ascii="Helvetica" w:hAnsi="Helvetica" w:cs="Helvetica"/>
        </w:rPr>
        <w:t>million.</w:t>
      </w:r>
    </w:p>
    <w:p w14:paraId="5976D0B1" w14:textId="77777777" w:rsidR="00B57ADE" w:rsidRDefault="00B57ADE" w:rsidP="00B57ADE">
      <w:pPr>
        <w:pStyle w:val="ListParagraph"/>
        <w:rPr>
          <w:rFonts w:ascii="Helvetica" w:hAnsi="Helvetica" w:cs="Helvetica"/>
        </w:rPr>
      </w:pPr>
    </w:p>
    <w:p w14:paraId="3E30EDE4" w14:textId="5E5AAF5B" w:rsidR="00B57ADE" w:rsidRPr="004C7EAF" w:rsidRDefault="00B57ADE" w:rsidP="00B57ADE">
      <w:pPr>
        <w:numPr>
          <w:ilvl w:val="0"/>
          <w:numId w:val="14"/>
        </w:numPr>
        <w:ind w:left="1440"/>
        <w:jc w:val="both"/>
        <w:rPr>
          <w:rFonts w:ascii="Helvetica" w:hAnsi="Helvetica" w:cs="Helvetica"/>
        </w:rPr>
      </w:pPr>
      <w:r w:rsidRPr="004C7EAF">
        <w:rPr>
          <w:rFonts w:ascii="Helvetica" w:hAnsi="Helvetica" w:cs="Helvetica"/>
        </w:rPr>
        <w:t>The net unearned premium reserves and net deferred ceding commission income of AG and its subsidiaries (as described below) were approximately $</w:t>
      </w:r>
      <w:r w:rsidR="00C01471">
        <w:rPr>
          <w:rFonts w:ascii="Helvetica" w:hAnsi="Helvetica" w:cs="Helvetica"/>
        </w:rPr>
        <w:t>2,416</w:t>
      </w:r>
      <w:r w:rsidRPr="004C7EAF">
        <w:rPr>
          <w:rFonts w:ascii="Helvetica" w:hAnsi="Helvetica" w:cs="Helvetica"/>
        </w:rPr>
        <w:t xml:space="preserve">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6232AA0" w14:textId="77777777" w:rsidR="00B57ADE" w:rsidRPr="00AE6076" w:rsidRDefault="00B57ADE" w:rsidP="00B57ADE">
      <w:pPr>
        <w:jc w:val="both"/>
        <w:rPr>
          <w:rFonts w:ascii="Helvetica" w:hAnsi="Helvetica" w:cs="Helvetica"/>
        </w:rPr>
      </w:pPr>
    </w:p>
    <w:p w14:paraId="3E27446C" w14:textId="77777777" w:rsidR="00B57ADE" w:rsidRPr="00AE6076" w:rsidRDefault="00B57ADE" w:rsidP="00B57ADE">
      <w:pPr>
        <w:jc w:val="both"/>
        <w:rPr>
          <w:rFonts w:ascii="Helvetica" w:hAnsi="Helvetica" w:cs="Helvetica"/>
        </w:rPr>
      </w:pPr>
      <w:r w:rsidRPr="00AE6076">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0378A64D" w14:textId="77777777" w:rsidR="00B57ADE" w:rsidRPr="00AE6076" w:rsidRDefault="00B57ADE" w:rsidP="00B57ADE">
      <w:pPr>
        <w:jc w:val="both"/>
        <w:rPr>
          <w:rFonts w:ascii="Helvetica" w:hAnsi="Helvetica" w:cs="Helvetica"/>
        </w:rPr>
      </w:pPr>
      <w:bookmarkStart w:id="17" w:name="OLE_LINK9"/>
      <w:bookmarkEnd w:id="15"/>
    </w:p>
    <w:bookmarkEnd w:id="17"/>
    <w:p w14:paraId="677268CC" w14:textId="77777777" w:rsidR="00BF32E1" w:rsidRDefault="00BF32E1" w:rsidP="00BF32E1">
      <w:pPr>
        <w:widowControl w:val="0"/>
        <w:jc w:val="both"/>
        <w:rPr>
          <w:rFonts w:ascii="Helvetica" w:hAnsi="Helvetica" w:cs="Helvetica"/>
          <w:color w:val="000000"/>
        </w:rPr>
      </w:pPr>
      <w:r>
        <w:rPr>
          <w:rFonts w:ascii="Helvetica" w:hAnsi="Helvetica" w:cs="Helvetica"/>
          <w:color w:val="000000"/>
        </w:rPr>
        <w:t>Incorporation of Certain Documents by Reference</w:t>
      </w:r>
    </w:p>
    <w:p w14:paraId="2B2B4A81" w14:textId="77777777" w:rsidR="00BF32E1" w:rsidRDefault="00BF32E1" w:rsidP="00BF32E1">
      <w:pPr>
        <w:widowControl w:val="0"/>
        <w:jc w:val="both"/>
        <w:rPr>
          <w:rFonts w:ascii="Helvetica" w:hAnsi="Helvetica" w:cs="Helvetica"/>
          <w:color w:val="000000"/>
        </w:rPr>
      </w:pPr>
    </w:p>
    <w:p w14:paraId="36D5FC06" w14:textId="77777777" w:rsidR="00BF32E1" w:rsidRDefault="00BF32E1" w:rsidP="00BF32E1">
      <w:pPr>
        <w:ind w:firstLine="720"/>
        <w:jc w:val="both"/>
        <w:rPr>
          <w:rFonts w:ascii="Helvetica" w:hAnsi="Helvetica" w:cs="Helvetica"/>
        </w:rPr>
      </w:pPr>
      <w:r>
        <w:rPr>
          <w:rFonts w:ascii="Helvetica" w:hAnsi="Helvetica" w:cs="Helvetica"/>
        </w:rPr>
        <w:t>Portions of the following documents filed by AGL with the Securities and Exchange Commission (the “SEC”) that relate to AG are incorporated by reference into this Official Statement and shall be deemed to be a part hereof:</w:t>
      </w:r>
    </w:p>
    <w:p w14:paraId="4A323EC2" w14:textId="77777777" w:rsidR="00BF32E1" w:rsidRDefault="00BF32E1" w:rsidP="00BF32E1">
      <w:pPr>
        <w:ind w:firstLine="720"/>
        <w:jc w:val="both"/>
        <w:rPr>
          <w:rFonts w:ascii="Helvetica" w:hAnsi="Helvetica" w:cs="Helvetica"/>
        </w:rPr>
      </w:pPr>
    </w:p>
    <w:p w14:paraId="049E6462"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the Annual Report on Form 10-K for the fiscal year ended December 31, 2024 (filed by AGL with the SEC on February 28, 2025); and</w:t>
      </w:r>
    </w:p>
    <w:p w14:paraId="4B7DB727" w14:textId="77777777" w:rsidR="00BF32E1" w:rsidRDefault="00BF32E1" w:rsidP="00BF32E1">
      <w:pPr>
        <w:pStyle w:val="ListParagraph"/>
        <w:ind w:left="1440"/>
        <w:jc w:val="both"/>
        <w:rPr>
          <w:rFonts w:ascii="Helvetica" w:hAnsi="Helvetica" w:cs="Helvetica"/>
        </w:rPr>
      </w:pPr>
    </w:p>
    <w:p w14:paraId="30E82BCF"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 xml:space="preserve">the Quarterly Report on Form 10-Q for the quarterly period ended March 31, 2025 (filed by AGL with the SEC on May 9, 2025). </w:t>
      </w:r>
    </w:p>
    <w:p w14:paraId="1ED9900A" w14:textId="77777777" w:rsidR="00B57ADE" w:rsidRPr="00AE6076" w:rsidRDefault="00B57ADE" w:rsidP="00B57ADE">
      <w:pPr>
        <w:jc w:val="both"/>
        <w:rPr>
          <w:rFonts w:ascii="Helvetica" w:hAnsi="Helvetica" w:cs="Helvetica"/>
        </w:rPr>
      </w:pPr>
    </w:p>
    <w:p w14:paraId="1B77800A" w14:textId="77777777" w:rsidR="00B57ADE" w:rsidRPr="00B251CE" w:rsidRDefault="00B57ADE" w:rsidP="00B57ADE">
      <w:pPr>
        <w:ind w:firstLine="720"/>
        <w:jc w:val="both"/>
        <w:rPr>
          <w:rFonts w:ascii="Helvetica" w:hAnsi="Helvetica" w:cs="Helvetica"/>
        </w:rPr>
      </w:pPr>
      <w:r w:rsidRPr="00B251CE">
        <w:rPr>
          <w:rFonts w:ascii="Helvetica" w:hAnsi="Helvetica" w:cs="Helvetica"/>
        </w:rPr>
        <w:t>All information relating to AG included in, or as exhibits to, documents filed by AGL with the SEC pursuant to Section 13(a) or 15(d) of the Securities Exchange Act of 1934, as amended, excluding Current Reports or portions 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xml:space="preserve">, or will be provided upon request to Assured Guaranty Inc.: 1633 Broadway, New York, New York 10019, Attention: Communications Department (telephone (212) 974-0100). </w:t>
      </w:r>
      <w:r w:rsidRPr="00B251CE">
        <w:rPr>
          <w:rFonts w:ascii="Helvetica" w:hAnsi="Helvetica" w:cs="Helvetica"/>
        </w:rPr>
        <w:lastRenderedPageBreak/>
        <w:t>Except for the information referred to above, no information available on or through AGL’s website shall be deemed to be part of or incorporated in this Official Statement.</w:t>
      </w:r>
    </w:p>
    <w:p w14:paraId="5277C025" w14:textId="77777777" w:rsidR="00B57ADE" w:rsidRPr="00B251CE" w:rsidRDefault="00B57ADE" w:rsidP="00B57ADE">
      <w:pPr>
        <w:jc w:val="both"/>
        <w:rPr>
          <w:rFonts w:ascii="Helvetica" w:hAnsi="Helvetica" w:cs="Helvetica"/>
        </w:rPr>
      </w:pPr>
    </w:p>
    <w:p w14:paraId="57133457" w14:textId="77777777" w:rsidR="00B57ADE" w:rsidRPr="00B251CE" w:rsidRDefault="00B57ADE" w:rsidP="00B57AD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16CBD2D6" w14:textId="77777777" w:rsidR="00B57ADE" w:rsidRPr="00B251CE" w:rsidRDefault="00B57ADE" w:rsidP="00B57ADE">
      <w:pPr>
        <w:jc w:val="both"/>
        <w:rPr>
          <w:rFonts w:ascii="Helvetica" w:hAnsi="Helvetica" w:cs="Helvetica"/>
          <w:i/>
        </w:rPr>
      </w:pPr>
    </w:p>
    <w:p w14:paraId="24641E6E" w14:textId="77777777" w:rsidR="00B57ADE" w:rsidRPr="00B251CE" w:rsidRDefault="00B57ADE" w:rsidP="00B57ADE">
      <w:pPr>
        <w:jc w:val="both"/>
        <w:rPr>
          <w:rFonts w:ascii="Helvetica" w:hAnsi="Helvetica" w:cs="Helvetica"/>
          <w:iCs/>
        </w:rPr>
      </w:pPr>
      <w:r w:rsidRPr="00B251CE">
        <w:rPr>
          <w:rFonts w:ascii="Helvetica" w:hAnsi="Helvetica" w:cs="Helvetica"/>
          <w:i/>
        </w:rPr>
        <w:t>Miscellaneous Matters</w:t>
      </w:r>
    </w:p>
    <w:p w14:paraId="2FF02EC4" w14:textId="77777777" w:rsidR="00B57ADE" w:rsidRPr="00B251CE" w:rsidRDefault="00B57ADE" w:rsidP="00B57ADE">
      <w:pPr>
        <w:jc w:val="both"/>
        <w:rPr>
          <w:rFonts w:ascii="Helvetica" w:hAnsi="Helvetica" w:cs="Helvetica"/>
          <w:iCs/>
        </w:rPr>
      </w:pPr>
    </w:p>
    <w:p w14:paraId="2C3ECFA6" w14:textId="77777777" w:rsidR="00B57ADE" w:rsidRPr="004C7EAF" w:rsidRDefault="00B57ADE" w:rsidP="00B57ADE">
      <w:pPr>
        <w:ind w:firstLine="720"/>
        <w:jc w:val="both"/>
        <w:rPr>
          <w:rFonts w:ascii="Helvetica" w:hAnsi="Helvetica" w:cs="Helvetica"/>
        </w:rPr>
      </w:pPr>
      <w:r w:rsidRPr="00B251CE">
        <w:rPr>
          <w:rFonts w:ascii="Helvetica" w:hAnsi="Helvetica" w:cs="Helvetica"/>
        </w:rPr>
        <w:t xml:space="preserve">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w:t>
      </w:r>
      <w:proofErr w:type="spellStart"/>
      <w:r w:rsidRPr="00B251CE">
        <w:rPr>
          <w:rFonts w:ascii="Helvetica" w:hAnsi="Helvetica" w:cs="Helvetica"/>
        </w:rPr>
        <w:t>herefrom</w:t>
      </w:r>
      <w:proofErr w:type="spellEnd"/>
      <w:r w:rsidRPr="00B251CE">
        <w:rPr>
          <w:rFonts w:ascii="Helvetica" w:hAnsi="Helvetica" w:cs="Helvetica"/>
        </w:rPr>
        <w:t>, other than with respect to the accuracy of the information regarding AG supplied by AG and presented under the heading “</w:t>
      </w:r>
      <w:r w:rsidRPr="00B251CE">
        <w:rPr>
          <w:rFonts w:ascii="Helvetica" w:hAnsi="Helvetica" w:cs="Helvetica"/>
          <w:caps/>
        </w:rPr>
        <w:t>Bond Insurance”</w:t>
      </w:r>
      <w:bookmarkEnd w:id="6"/>
      <w:r w:rsidRPr="00B251CE">
        <w:rPr>
          <w:rFonts w:ascii="Helvetica" w:hAnsi="Helvetica" w:cs="Helvetica"/>
        </w:rPr>
        <w:t>.</w:t>
      </w:r>
      <w:bookmarkEnd w:id="4"/>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1A0DA1">
      <w:pPr>
        <w:numPr>
          <w:ilvl w:val="12"/>
          <w:numId w:val="0"/>
        </w:numPr>
        <w:tabs>
          <w:tab w:val="left" w:pos="1260"/>
        </w:tabs>
        <w:ind w:left="1267"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1A0DA1">
      <w:pPr>
        <w:numPr>
          <w:ilvl w:val="12"/>
          <w:numId w:val="0"/>
        </w:numPr>
        <w:ind w:left="1267" w:right="86"/>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1A0DA1">
      <w:pPr>
        <w:ind w:left="1267" w:right="86"/>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1A0DA1" w:rsidRDefault="00CD1D7E" w:rsidP="001A0DA1">
      <w:pPr>
        <w:tabs>
          <w:tab w:val="left" w:pos="7920"/>
        </w:tabs>
        <w:ind w:left="187" w:right="288"/>
        <w:jc w:val="both"/>
        <w:rPr>
          <w:rFonts w:ascii="Helvetica" w:hAnsi="Helvetica" w:cs="Helvetica"/>
        </w:rPr>
      </w:pPr>
      <w:r w:rsidRPr="001A0DA1">
        <w:rPr>
          <w:rFonts w:ascii="Helvetica" w:hAnsi="Helvetica" w:cs="Helvetica"/>
        </w:rPr>
        <w:t xml:space="preserve">Assured Guaranty Inc. </w:t>
      </w:r>
      <w:r w:rsidR="00686ACD" w:rsidRPr="001A0DA1">
        <w:rPr>
          <w:rFonts w:ascii="Helvetica" w:hAnsi="Helvetica" w:cs="Helvetica"/>
        </w:rPr>
        <w:t>(“</w:t>
      </w:r>
      <w:r w:rsidR="00A86F67" w:rsidRPr="001A0DA1">
        <w:rPr>
          <w:rFonts w:ascii="Helvetica" w:hAnsi="Helvetica" w:cs="Helvetica"/>
        </w:rPr>
        <w:t>AG</w:t>
      </w:r>
      <w:r w:rsidR="00686ACD" w:rsidRPr="001A0DA1">
        <w:rPr>
          <w:rFonts w:ascii="Helvetica" w:hAnsi="Helvetica" w:cs="Helvetica"/>
        </w:rPr>
        <w:t>”)</w:t>
      </w:r>
      <w:r w:rsidR="002C4030" w:rsidRPr="001A0DA1">
        <w:rPr>
          <w:rFonts w:ascii="Helvetica" w:hAnsi="Helvetica" w:cs="Helvetica"/>
        </w:rPr>
        <w:t xml:space="preserve"> </w:t>
      </w:r>
      <w:r w:rsidR="005F550C" w:rsidRPr="001A0DA1">
        <w:rPr>
          <w:rFonts w:ascii="Helvetica" w:hAnsi="Helvetica" w:cs="Helvetica"/>
        </w:rPr>
        <w:t xml:space="preserve">makes no representation regarding the Bonds or the advisability of investing in the Bonds. In addition, </w:t>
      </w:r>
      <w:r w:rsidR="00237D24" w:rsidRPr="001A0DA1">
        <w:rPr>
          <w:rFonts w:ascii="Helvetica" w:hAnsi="Helvetica" w:cs="Helvetica"/>
        </w:rPr>
        <w:t>AG</w:t>
      </w:r>
      <w:r w:rsidR="00AA7DA9" w:rsidRPr="001A0DA1">
        <w:rPr>
          <w:rFonts w:ascii="Helvetica" w:hAnsi="Helvetica" w:cs="Helvetica"/>
        </w:rPr>
        <w:t xml:space="preserve"> </w:t>
      </w:r>
      <w:r w:rsidR="005F550C" w:rsidRPr="001A0DA1">
        <w:rPr>
          <w:rFonts w:ascii="Helvetica" w:hAnsi="Helvetica" w:cs="Helvetica"/>
        </w:rPr>
        <w:t xml:space="preserve">has not independently verified, makes no representation regarding, and does not accept any responsibility for the accuracy or completeness of this Official Statement or any information or disclosure contained herein, or omitted </w:t>
      </w:r>
      <w:proofErr w:type="spellStart"/>
      <w:r w:rsidR="005F550C" w:rsidRPr="001A0DA1">
        <w:rPr>
          <w:rFonts w:ascii="Helvetica" w:hAnsi="Helvetica" w:cs="Helvetica"/>
        </w:rPr>
        <w:t>herefrom</w:t>
      </w:r>
      <w:proofErr w:type="spellEnd"/>
      <w:r w:rsidR="005F550C" w:rsidRPr="001A0DA1">
        <w:rPr>
          <w:rFonts w:ascii="Helvetica" w:hAnsi="Helvetica" w:cs="Helvetica"/>
        </w:rPr>
        <w:t xml:space="preserve">, other than with respect to the accuracy of the information regarding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 xml:space="preserve">supplied by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and presented under the heading “</w:t>
      </w:r>
      <w:r w:rsidR="005F550C" w:rsidRPr="001A0DA1">
        <w:rPr>
          <w:rFonts w:ascii="Helvetica" w:hAnsi="Helvetica" w:cs="Helvetica"/>
          <w:caps/>
        </w:rPr>
        <w:t>Bond Insurance</w:t>
      </w:r>
      <w:r w:rsidR="005F550C" w:rsidRPr="001A0DA1">
        <w:rPr>
          <w:rFonts w:ascii="Helvetica" w:hAnsi="Helvetica" w:cs="Helvetica"/>
        </w:rPr>
        <w:t xml:space="preserve">” and </w:t>
      </w:r>
      <w:r w:rsidR="00CA5BEF" w:rsidRPr="001A0DA1">
        <w:rPr>
          <w:rFonts w:ascii="Helvetica" w:hAnsi="Helvetica" w:cs="Helvetica"/>
        </w:rPr>
        <w:t>“</w:t>
      </w:r>
      <w:r w:rsidR="00926A22" w:rsidRPr="001A0DA1">
        <w:rPr>
          <w:rFonts w:ascii="Helvetica" w:hAnsi="Helvetica" w:cs="Helvetica"/>
        </w:rPr>
        <w:t>Appendix</w:t>
      </w:r>
      <w:r w:rsidR="005F550C" w:rsidRPr="001A0DA1">
        <w:rPr>
          <w:rFonts w:ascii="Helvetica" w:hAnsi="Helvetica" w:cs="Helvetica"/>
        </w:rPr>
        <w:t xml:space="preserve"> __ - Specimen Municipal Bond Insurance Policy”</w:t>
      </w:r>
      <w:r w:rsidR="003C4390" w:rsidRPr="001A0DA1">
        <w:rPr>
          <w:rFonts w:ascii="Helvetica" w:hAnsi="Helvetica" w:cs="Helvetica"/>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1A0DA1">
      <w:pPr>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1A0DA1">
      <w:pPr>
        <w:jc w:val="both"/>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1A0DA1">
      <w:pPr>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 xml:space="preserve">that you </w:t>
      </w:r>
      <w:proofErr w:type="gramStart"/>
      <w:r w:rsidRPr="007D0BF7">
        <w:rPr>
          <w:rFonts w:ascii="Helvetica" w:hAnsi="Helvetica" w:cs="Helvetica"/>
          <w:b/>
        </w:rPr>
        <w:t>are in agreement</w:t>
      </w:r>
      <w:proofErr w:type="gramEnd"/>
      <w:r w:rsidRPr="007D0BF7">
        <w:rPr>
          <w:rFonts w:ascii="Helvetica" w:hAnsi="Helvetica" w:cs="Helvetica"/>
          <w:b/>
        </w:rPr>
        <w:t xml:space="preserve">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1A0DA1">
      <w:pPr>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1A0DA1">
      <w:pPr>
        <w:rPr>
          <w:rFonts w:ascii="Helvetica" w:hAnsi="Helvetica" w:cs="Helvetica"/>
        </w:rPr>
      </w:pPr>
    </w:p>
    <w:p w14:paraId="7A651C7B" w14:textId="77777777" w:rsidR="003C4390" w:rsidRPr="007D0BF7" w:rsidRDefault="003C4390" w:rsidP="001A0DA1">
      <w:pPr>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1A0DA1">
      <w:pPr>
        <w:rPr>
          <w:rFonts w:ascii="Helvetica" w:hAnsi="Helvetica" w:cs="Helvetica"/>
        </w:rPr>
      </w:pPr>
    </w:p>
    <w:p w14:paraId="43F9BCD5" w14:textId="77777777" w:rsidR="003C4390" w:rsidRPr="007E3B48" w:rsidRDefault="003C4390" w:rsidP="001A0DA1">
      <w:pPr>
        <w:ind w:right="-360"/>
        <w:rPr>
          <w:rFonts w:ascii="Helvetica" w:hAnsi="Helvetica" w:cs="Helvetica"/>
          <w:bCs/>
        </w:rPr>
      </w:pPr>
      <w:r w:rsidRPr="007E3B48">
        <w:rPr>
          <w:rFonts w:ascii="Helvetica" w:hAnsi="Helvetica" w:cs="Helvetica"/>
          <w:bCs/>
        </w:rPr>
        <w:t>Wire Transfer Instructions:</w:t>
      </w:r>
    </w:p>
    <w:p w14:paraId="5ECE065A" w14:textId="77777777" w:rsidR="0024527F" w:rsidRPr="0024527F" w:rsidRDefault="0024527F" w:rsidP="001A0DA1">
      <w:pPr>
        <w:tabs>
          <w:tab w:val="left" w:pos="2160"/>
          <w:tab w:val="left" w:pos="3960"/>
          <w:tab w:val="left" w:pos="7056"/>
        </w:tabs>
        <w:ind w:right="-360"/>
        <w:rPr>
          <w:rFonts w:ascii="Helvetica" w:hAnsi="Helvetica" w:cs="Helvetica"/>
        </w:rPr>
      </w:pPr>
    </w:p>
    <w:tbl>
      <w:tblPr>
        <w:tblW w:w="8100" w:type="dxa"/>
        <w:tblInd w:w="558" w:type="dxa"/>
        <w:tblLayout w:type="fixed"/>
        <w:tblLook w:val="04A0" w:firstRow="1" w:lastRow="0" w:firstColumn="1" w:lastColumn="0" w:noHBand="0" w:noVBand="1"/>
      </w:tblPr>
      <w:tblGrid>
        <w:gridCol w:w="2430"/>
        <w:gridCol w:w="5670"/>
      </w:tblGrid>
      <w:tr w:rsidR="0024527F" w:rsidRPr="0024527F" w14:paraId="2095E44C" w14:textId="77777777" w:rsidTr="007E3B48">
        <w:tc>
          <w:tcPr>
            <w:tcW w:w="2430" w:type="dxa"/>
            <w:hideMark/>
          </w:tcPr>
          <w:p w14:paraId="20D695C5" w14:textId="77777777" w:rsidR="0024527F" w:rsidRPr="0024527F" w:rsidRDefault="0024527F" w:rsidP="001A0DA1">
            <w:pPr>
              <w:rPr>
                <w:rFonts w:ascii="Helvetica" w:hAnsi="Helvetica" w:cs="Helvetica"/>
              </w:rPr>
            </w:pPr>
            <w:r w:rsidRPr="0024527F">
              <w:rPr>
                <w:rFonts w:ascii="Helvetica" w:hAnsi="Helvetica" w:cs="Helvetica"/>
              </w:rPr>
              <w:t>Beneficiary Bank:</w:t>
            </w:r>
          </w:p>
        </w:tc>
        <w:tc>
          <w:tcPr>
            <w:tcW w:w="5670" w:type="dxa"/>
            <w:hideMark/>
          </w:tcPr>
          <w:p w14:paraId="633C6FB2" w14:textId="65F7E84F" w:rsidR="0024527F" w:rsidRPr="0024527F" w:rsidRDefault="007E3B48" w:rsidP="001A0DA1">
            <w:pPr>
              <w:rPr>
                <w:rFonts w:ascii="Helvetica" w:hAnsi="Helvetica" w:cs="Helvetica"/>
              </w:rPr>
            </w:pPr>
            <w:r>
              <w:rPr>
                <w:rFonts w:ascii="Helvetica" w:hAnsi="Helvetica" w:cs="Helvetica"/>
              </w:rPr>
              <w:t>JP Morgan Chase</w:t>
            </w:r>
            <w:r w:rsidR="0024527F" w:rsidRPr="0024527F">
              <w:rPr>
                <w:rFonts w:ascii="Helvetica" w:hAnsi="Helvetica" w:cs="Helvetica"/>
              </w:rPr>
              <w:t>, New York</w:t>
            </w:r>
          </w:p>
        </w:tc>
      </w:tr>
      <w:tr w:rsidR="0024527F" w:rsidRPr="0024527F" w14:paraId="37476052" w14:textId="77777777" w:rsidTr="007E3B48">
        <w:tc>
          <w:tcPr>
            <w:tcW w:w="2430" w:type="dxa"/>
            <w:hideMark/>
          </w:tcPr>
          <w:p w14:paraId="3163E8EA" w14:textId="77777777" w:rsidR="0024527F" w:rsidRPr="0024527F" w:rsidRDefault="0024527F" w:rsidP="001A0DA1">
            <w:pPr>
              <w:rPr>
                <w:rFonts w:ascii="Helvetica" w:hAnsi="Helvetica" w:cs="Helvetica"/>
              </w:rPr>
            </w:pPr>
            <w:r w:rsidRPr="0024527F">
              <w:rPr>
                <w:rFonts w:ascii="Helvetica" w:hAnsi="Helvetica" w:cs="Helvetica"/>
              </w:rPr>
              <w:t>ABA Number:</w:t>
            </w:r>
          </w:p>
        </w:tc>
        <w:tc>
          <w:tcPr>
            <w:tcW w:w="5670" w:type="dxa"/>
            <w:hideMark/>
          </w:tcPr>
          <w:p w14:paraId="60EB206A" w14:textId="67712B36" w:rsidR="0024527F" w:rsidRPr="0024527F" w:rsidRDefault="0024527F" w:rsidP="001A0DA1">
            <w:pPr>
              <w:rPr>
                <w:rFonts w:ascii="Helvetica" w:hAnsi="Helvetica" w:cs="Helvetica"/>
              </w:rPr>
            </w:pPr>
            <w:r w:rsidRPr="0024527F">
              <w:rPr>
                <w:rFonts w:ascii="Helvetica" w:hAnsi="Helvetica" w:cs="Helvetica"/>
              </w:rPr>
              <w:t xml:space="preserve">021 000 </w:t>
            </w:r>
            <w:r w:rsidR="007E3B48">
              <w:rPr>
                <w:rFonts w:ascii="Helvetica" w:hAnsi="Helvetica" w:cs="Helvetica"/>
              </w:rPr>
              <w:t>021</w:t>
            </w:r>
          </w:p>
        </w:tc>
      </w:tr>
      <w:tr w:rsidR="0024527F" w:rsidRPr="0024527F" w14:paraId="6E5C251F" w14:textId="77777777" w:rsidTr="007E3B48">
        <w:tc>
          <w:tcPr>
            <w:tcW w:w="2430" w:type="dxa"/>
            <w:hideMark/>
          </w:tcPr>
          <w:p w14:paraId="66AB18EA" w14:textId="77777777" w:rsidR="0024527F" w:rsidRPr="0024527F" w:rsidRDefault="0024527F" w:rsidP="001A0DA1">
            <w:pPr>
              <w:rPr>
                <w:rFonts w:ascii="Helvetica" w:hAnsi="Helvetica" w:cs="Helvetica"/>
              </w:rPr>
            </w:pPr>
            <w:r w:rsidRPr="0024527F">
              <w:rPr>
                <w:rFonts w:ascii="Helvetica" w:hAnsi="Helvetica" w:cs="Helvetica"/>
              </w:rPr>
              <w:t>Beneficiary:</w:t>
            </w:r>
          </w:p>
        </w:tc>
        <w:tc>
          <w:tcPr>
            <w:tcW w:w="5670" w:type="dxa"/>
            <w:hideMark/>
          </w:tcPr>
          <w:p w14:paraId="4CE7A971" w14:textId="036B2E06" w:rsidR="0024527F" w:rsidRPr="0024527F" w:rsidRDefault="002C7541" w:rsidP="001A0DA1">
            <w:pPr>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r w:rsidR="007E3B48">
              <w:rPr>
                <w:rFonts w:ascii="Helvetica" w:hAnsi="Helvetica" w:cs="Helvetica"/>
              </w:rPr>
              <w:t>- Premium</w:t>
            </w:r>
          </w:p>
        </w:tc>
      </w:tr>
      <w:tr w:rsidR="0024527F" w:rsidRPr="0024527F" w14:paraId="02E27934" w14:textId="77777777" w:rsidTr="007E3B48">
        <w:tc>
          <w:tcPr>
            <w:tcW w:w="2430" w:type="dxa"/>
            <w:hideMark/>
          </w:tcPr>
          <w:p w14:paraId="600904A1" w14:textId="77777777" w:rsidR="0024527F" w:rsidRPr="0024527F" w:rsidRDefault="0024527F" w:rsidP="001A0DA1">
            <w:pPr>
              <w:rPr>
                <w:rFonts w:ascii="Helvetica" w:hAnsi="Helvetica" w:cs="Helvetica"/>
              </w:rPr>
            </w:pPr>
            <w:r w:rsidRPr="0024527F">
              <w:rPr>
                <w:rFonts w:ascii="Helvetica" w:hAnsi="Helvetica" w:cs="Helvetica"/>
              </w:rPr>
              <w:t>Account Number:</w:t>
            </w:r>
          </w:p>
        </w:tc>
        <w:tc>
          <w:tcPr>
            <w:tcW w:w="5670" w:type="dxa"/>
            <w:hideMark/>
          </w:tcPr>
          <w:p w14:paraId="550383C1" w14:textId="0FF8ADC4" w:rsidR="0024527F" w:rsidRPr="0024527F" w:rsidRDefault="007E3B48" w:rsidP="001A0DA1">
            <w:pPr>
              <w:rPr>
                <w:rFonts w:ascii="Helvetica" w:hAnsi="Helvetica" w:cs="Helvetica"/>
              </w:rPr>
            </w:pPr>
            <w:r>
              <w:rPr>
                <w:rFonts w:ascii="Helvetica" w:hAnsi="Helvetica" w:cs="Helvetica"/>
              </w:rPr>
              <w:t>323-355919</w:t>
            </w:r>
          </w:p>
        </w:tc>
      </w:tr>
      <w:tr w:rsidR="0024527F" w:rsidRPr="0024527F" w14:paraId="25B5DFD0" w14:textId="77777777" w:rsidTr="007E3B48">
        <w:tc>
          <w:tcPr>
            <w:tcW w:w="2430" w:type="dxa"/>
            <w:hideMark/>
          </w:tcPr>
          <w:p w14:paraId="45507D8E" w14:textId="77777777" w:rsidR="0024527F" w:rsidRPr="0024527F" w:rsidRDefault="0024527F" w:rsidP="001A0DA1">
            <w:pPr>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1A0DA1">
            <w:pPr>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1A0DA1">
      <w:pPr>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1A0DA1">
      <w:pPr>
        <w:rPr>
          <w:rFonts w:ascii="Helvetica" w:hAnsi="Helvetica" w:cs="Helvetica"/>
        </w:rPr>
      </w:pPr>
    </w:p>
    <w:p w14:paraId="7C2907B6" w14:textId="16728A3A" w:rsidR="003C4390" w:rsidRPr="007D0BF7" w:rsidRDefault="007A3804" w:rsidP="001A0DA1">
      <w:pPr>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 xml:space="preserve">be communicated to the appropriate </w:t>
      </w:r>
      <w:r w:rsidR="00130F50">
        <w:rPr>
          <w:rFonts w:ascii="Helvetica" w:hAnsi="Helvetica" w:cs="Helvetica"/>
        </w:rPr>
        <w:t>Closing Coordinator</w:t>
      </w:r>
      <w:r w:rsidR="003C4390" w:rsidRPr="007D0BF7">
        <w:rPr>
          <w:rFonts w:ascii="Helvetica" w:hAnsi="Helvetica" w:cs="Helvetica"/>
        </w:rPr>
        <w:t xml:space="preserve"> on the closing date:</w:t>
      </w:r>
    </w:p>
    <w:p w14:paraId="4D19BFF0" w14:textId="77777777" w:rsidR="003C4390" w:rsidRPr="002B2361" w:rsidRDefault="003C4390" w:rsidP="001A0DA1">
      <w:pPr>
        <w:rPr>
          <w:rFonts w:ascii="Helvetica" w:hAnsi="Helvetica" w:cs="Helvetica"/>
        </w:rPr>
      </w:pPr>
    </w:p>
    <w:tbl>
      <w:tblPr>
        <w:tblW w:w="4718" w:type="pct"/>
        <w:tblInd w:w="630" w:type="dxa"/>
        <w:tblLook w:val="0000" w:firstRow="0" w:lastRow="0" w:firstColumn="0" w:lastColumn="0" w:noHBand="0" w:noVBand="0"/>
      </w:tblPr>
      <w:tblGrid>
        <w:gridCol w:w="2430"/>
        <w:gridCol w:w="2978"/>
        <w:gridCol w:w="2609"/>
      </w:tblGrid>
      <w:tr w:rsidR="007E3B48" w:rsidRPr="002B2361" w14:paraId="0935D8CF" w14:textId="77777777" w:rsidTr="007E3B48">
        <w:tc>
          <w:tcPr>
            <w:tcW w:w="1516" w:type="pct"/>
          </w:tcPr>
          <w:p w14:paraId="7A6F12FA" w14:textId="77777777" w:rsidR="007E3B48" w:rsidRPr="002B2361" w:rsidRDefault="007E3B48" w:rsidP="007E3B48">
            <w:pPr>
              <w:spacing w:before="120"/>
              <w:ind w:left="-15" w:firstLine="15"/>
              <w:jc w:val="both"/>
              <w:rPr>
                <w:rFonts w:ascii="Helvetica" w:hAnsi="Helvetica" w:cs="Helvetica"/>
              </w:rPr>
            </w:pPr>
            <w:r w:rsidRPr="002B2361">
              <w:rPr>
                <w:rFonts w:ascii="Helvetica" w:hAnsi="Helvetica" w:cs="Helvetica"/>
              </w:rPr>
              <w:t>Nicole Cinquegrana</w:t>
            </w:r>
          </w:p>
        </w:tc>
        <w:tc>
          <w:tcPr>
            <w:tcW w:w="1857" w:type="pct"/>
          </w:tcPr>
          <w:p w14:paraId="111E058E" w14:textId="369B4604"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ncinquegrana@agltd.com</w:t>
            </w:r>
          </w:p>
        </w:tc>
        <w:tc>
          <w:tcPr>
            <w:tcW w:w="1627" w:type="pct"/>
          </w:tcPr>
          <w:p w14:paraId="1237FEC7" w14:textId="4BDDA55F" w:rsidR="007E3B48" w:rsidRPr="002B2361" w:rsidRDefault="007E3B48" w:rsidP="007E3B48">
            <w:pPr>
              <w:spacing w:before="120"/>
              <w:rPr>
                <w:rFonts w:ascii="Helvetica" w:hAnsi="Helvetica" w:cs="Helvetica"/>
              </w:rPr>
            </w:pPr>
            <w:r w:rsidRPr="002B2361">
              <w:rPr>
                <w:rFonts w:ascii="Helvetica" w:hAnsi="Helvetica" w:cs="Helvetica"/>
              </w:rPr>
              <w:t>(212) 261-5593</w:t>
            </w:r>
          </w:p>
        </w:tc>
      </w:tr>
      <w:tr w:rsidR="007E3B48" w:rsidRPr="002B2361" w14:paraId="78A9A1CD" w14:textId="77777777" w:rsidTr="007E3B48">
        <w:tc>
          <w:tcPr>
            <w:tcW w:w="1516" w:type="pct"/>
          </w:tcPr>
          <w:p w14:paraId="71CB3FBC" w14:textId="7B7263CC" w:rsidR="007E3B48" w:rsidRPr="002B2361" w:rsidRDefault="007E3B48" w:rsidP="007E3B48">
            <w:pPr>
              <w:tabs>
                <w:tab w:val="left" w:pos="2340"/>
              </w:tabs>
              <w:spacing w:before="120"/>
              <w:jc w:val="both"/>
              <w:rPr>
                <w:rFonts w:ascii="Helvetica" w:hAnsi="Helvetica" w:cs="Helvetica"/>
              </w:rPr>
            </w:pPr>
            <w:r>
              <w:rPr>
                <w:rFonts w:ascii="Helvetica" w:hAnsi="Helvetica" w:cs="Helvetica"/>
              </w:rPr>
              <w:t>Ali Freeman</w:t>
            </w:r>
          </w:p>
        </w:tc>
        <w:tc>
          <w:tcPr>
            <w:tcW w:w="1857" w:type="pct"/>
          </w:tcPr>
          <w:p w14:paraId="5961D729" w14:textId="4D36EE92"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afreeman@agltd.com</w:t>
            </w:r>
          </w:p>
        </w:tc>
        <w:tc>
          <w:tcPr>
            <w:tcW w:w="1627" w:type="pct"/>
          </w:tcPr>
          <w:p w14:paraId="1D58F487" w14:textId="47C7DC79"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 xml:space="preserve">(212) </w:t>
            </w:r>
            <w:r>
              <w:rPr>
                <w:rFonts w:ascii="Helvetica" w:hAnsi="Helvetica" w:cs="Helvetica"/>
              </w:rPr>
              <w:t>339-3432</w:t>
            </w:r>
          </w:p>
        </w:tc>
      </w:tr>
      <w:tr w:rsidR="007E3B48" w:rsidRPr="002B2361" w14:paraId="4C69A94E" w14:textId="77777777" w:rsidTr="007E3B48">
        <w:tc>
          <w:tcPr>
            <w:tcW w:w="1516" w:type="pct"/>
          </w:tcPr>
          <w:p w14:paraId="1EB12F9C" w14:textId="0DD7D5BE" w:rsidR="007E3B48" w:rsidRPr="002B2361" w:rsidRDefault="007E3B48" w:rsidP="007E3B48">
            <w:pPr>
              <w:tabs>
                <w:tab w:val="left" w:pos="2340"/>
              </w:tabs>
              <w:spacing w:before="120"/>
              <w:jc w:val="both"/>
              <w:rPr>
                <w:rFonts w:ascii="Helvetica" w:hAnsi="Helvetica" w:cs="Helvetica"/>
              </w:rPr>
            </w:pPr>
            <w:r w:rsidRPr="002B2361">
              <w:rPr>
                <w:rFonts w:ascii="Helvetica" w:hAnsi="Helvetica" w:cs="Helvetica"/>
              </w:rPr>
              <w:t>Audrey Udit-Adle</w:t>
            </w:r>
            <w:r>
              <w:rPr>
                <w:rFonts w:ascii="Helvetica" w:hAnsi="Helvetica" w:cs="Helvetica"/>
              </w:rPr>
              <w:t>r</w:t>
            </w:r>
          </w:p>
        </w:tc>
        <w:tc>
          <w:tcPr>
            <w:tcW w:w="1857" w:type="pct"/>
          </w:tcPr>
          <w:p w14:paraId="17F95452" w14:textId="67FE4437"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audit-adler@agltd.com</w:t>
            </w:r>
          </w:p>
        </w:tc>
        <w:tc>
          <w:tcPr>
            <w:tcW w:w="1627" w:type="pct"/>
          </w:tcPr>
          <w:p w14:paraId="0E7C2A26" w14:textId="19882B7F"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1A0DA1">
      <w:pPr>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1F414837" w14:textId="77777777" w:rsidR="00130F50" w:rsidRPr="007925C6" w:rsidRDefault="00130F50" w:rsidP="00D67942">
      <w:pPr>
        <w:spacing w:line="240" w:lineRule="atLeast"/>
        <w:jc w:val="center"/>
        <w:rPr>
          <w:rFonts w:ascii="Helvetica" w:hAnsi="Helvetica" w:cs="Helvetica"/>
          <w:b/>
        </w:rPr>
      </w:pPr>
    </w:p>
    <w:p w14:paraId="4FBDC149" w14:textId="77777777" w:rsidR="003C4390" w:rsidRPr="003A5F3F" w:rsidRDefault="003C4390" w:rsidP="00D67942">
      <w:pPr>
        <w:tabs>
          <w:tab w:val="left" w:pos="7380"/>
        </w:tabs>
        <w:spacing w:line="240" w:lineRule="atLeast"/>
        <w:jc w:val="center"/>
        <w:rPr>
          <w:rFonts w:ascii="Helvetica" w:hAnsi="Helvetica" w:cs="Helvetica"/>
          <w:b/>
          <w:i/>
        </w:rPr>
      </w:pPr>
      <w:r w:rsidRPr="001A0DA1">
        <w:rPr>
          <w:rFonts w:ascii="Helvetica" w:hAnsi="Helvetica" w:cs="Helvetica"/>
          <w:b/>
          <w:i/>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C1B9CA9" w:rsidR="003C4390" w:rsidRPr="007925C6" w:rsidRDefault="003C4390" w:rsidP="001A0DA1">
      <w:pPr>
        <w:spacing w:line="240" w:lineRule="atLeast"/>
        <w:rPr>
          <w:rFonts w:ascii="Helvetica" w:hAnsi="Helvetica" w:cs="Helvetica"/>
          <w:sz w:val="22"/>
        </w:rPr>
      </w:pPr>
      <w:r w:rsidRPr="007925C6">
        <w:rPr>
          <w:rFonts w:ascii="Helvetica" w:hAnsi="Helvetica" w:cs="Helvetica"/>
          <w:b/>
          <w:sz w:val="22"/>
        </w:rPr>
        <w:t xml:space="preserve">The Bonds </w:t>
      </w:r>
      <w:r w:rsidR="003A5F3F">
        <w:rPr>
          <w:rFonts w:ascii="Helvetica" w:hAnsi="Helvetica" w:cs="Helvetica"/>
          <w:b/>
          <w:sz w:val="22"/>
        </w:rPr>
        <w:t xml:space="preserve">insured by AG </w:t>
      </w:r>
      <w:r w:rsidRPr="007925C6">
        <w:rPr>
          <w:rFonts w:ascii="Helvetica" w:hAnsi="Helvetica" w:cs="Helvetica"/>
          <w:b/>
          <w:sz w:val="22"/>
        </w:rPr>
        <w:t>shall bear a Statement of Insurance in the following form</w:t>
      </w:r>
      <w:r w:rsidR="003A5F3F">
        <w:rPr>
          <w:rFonts w:ascii="Helvetica" w:hAnsi="Helvetica" w:cs="Helvetica"/>
          <w:b/>
          <w:sz w:val="22"/>
        </w:rPr>
        <w:t>, as appropriate</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094DACA3" w14:textId="432D9682" w:rsidR="003C4390" w:rsidRPr="007925C6" w:rsidRDefault="003C4390" w:rsidP="00D67942">
      <w:pPr>
        <w:spacing w:line="240" w:lineRule="atLeast"/>
        <w:jc w:val="both"/>
        <w:rPr>
          <w:rFonts w:ascii="Helvetica" w:hAnsi="Helvetica" w:cs="Helvetica"/>
          <w:sz w:val="22"/>
        </w:rPr>
      </w:pP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6B10F785" w:rsidR="003C4390" w:rsidRPr="002C7541" w:rsidRDefault="00CD1D7E" w:rsidP="001A0DA1">
      <w:pPr>
        <w:ind w:left="1440"/>
        <w:jc w:val="both"/>
        <w:rPr>
          <w:rFonts w:ascii="Helvetica" w:hAnsi="Helvetica" w:cs="Helvetica"/>
          <w:sz w:val="22"/>
          <w:szCs w:val="22"/>
        </w:rPr>
      </w:pPr>
      <w:bookmarkStart w:id="18" w:name="_Hlk171930340"/>
      <w:r w:rsidRPr="002C7541">
        <w:rPr>
          <w:rFonts w:ascii="Helvetica" w:hAnsi="Helvetica" w:cs="Helvetica"/>
          <w:sz w:val="22"/>
          <w:szCs w:val="22"/>
        </w:rPr>
        <w:t>Assured Guaranty Inc.</w:t>
      </w:r>
      <w:bookmarkEnd w:id="18"/>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398DFFB0" w:rsidR="003C4390" w:rsidRPr="002C7541" w:rsidRDefault="00CD1D7E" w:rsidP="001A0DA1">
      <w:pPr>
        <w:ind w:left="1440"/>
        <w:jc w:val="both"/>
        <w:rPr>
          <w:rFonts w:ascii="Helvetica" w:hAnsi="Helvetica" w:cs="Helvetica"/>
          <w:sz w:val="22"/>
          <w:szCs w:val="22"/>
        </w:rPr>
      </w:pPr>
      <w:bookmarkStart w:id="19" w:name="_Hlk171930402"/>
      <w:r w:rsidRPr="002C7541">
        <w:rPr>
          <w:rFonts w:ascii="Helvetica" w:hAnsi="Helvetica" w:cs="Helvetica"/>
          <w:sz w:val="22"/>
          <w:szCs w:val="22"/>
        </w:rPr>
        <w:t xml:space="preserve">Assured Guaranty Inc. </w:t>
      </w:r>
      <w:bookmarkEnd w:id="19"/>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0F3C4B84" w:rsidR="003C4390" w:rsidRPr="007925C6" w:rsidRDefault="00CD1D7E" w:rsidP="001A0DA1">
      <w:pPr>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lastRenderedPageBreak/>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1A0DA1">
      <w:pPr>
        <w:tabs>
          <w:tab w:val="left" w:pos="1440"/>
        </w:tabs>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07FA3FBE" w:rsidR="00E21010" w:rsidRDefault="00E21010" w:rsidP="00BE07D4">
    <w:pPr>
      <w:pStyle w:val="Footer"/>
    </w:pPr>
    <w:r>
      <w:rPr>
        <w:rFonts w:ascii="Helvetica" w:hAnsi="Helvetica"/>
      </w:rPr>
      <w:t xml:space="preserve">Revised: </w:t>
    </w:r>
    <w:bookmarkStart w:id="0" w:name="OLE_LINK46"/>
    <w:r w:rsidR="00BF32E1">
      <w:rPr>
        <w:rFonts w:ascii="Helvetica" w:hAnsi="Helvetica"/>
      </w:rPr>
      <w:t xml:space="preserve"> </w:t>
    </w:r>
    <w:r w:rsidR="002A58B4">
      <w:rPr>
        <w:rFonts w:ascii="Helvetica" w:hAnsi="Helvetica"/>
      </w:rPr>
      <w:t>July 2</w:t>
    </w:r>
    <w:r w:rsidR="006443C7">
      <w:rPr>
        <w:rFonts w:ascii="Helvetica" w:hAnsi="Helvetica"/>
      </w:rPr>
      <w:t>, 202</w:t>
    </w:r>
    <w:r w:rsidR="00A51D1A">
      <w:rPr>
        <w:rFonts w:ascii="Helvetica" w:hAnsi="Helvetica"/>
      </w:rPr>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656872"/>
    <w:multiLevelType w:val="hybridMultilevel"/>
    <w:tmpl w:val="7D76B6C8"/>
    <w:lvl w:ilvl="0" w:tplc="EB3CEBA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3"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7"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8"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2"/>
  </w:num>
  <w:num w:numId="3" w16cid:durableId="566962125">
    <w:abstractNumId w:val="6"/>
  </w:num>
  <w:num w:numId="4" w16cid:durableId="219947359">
    <w:abstractNumId w:val="7"/>
  </w:num>
  <w:num w:numId="5" w16cid:durableId="1154294933">
    <w:abstractNumId w:val="5"/>
  </w:num>
  <w:num w:numId="6" w16cid:durableId="332993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3"/>
  </w:num>
  <w:num w:numId="8" w16cid:durableId="2001156693">
    <w:abstractNumId w:val="4"/>
  </w:num>
  <w:num w:numId="9" w16cid:durableId="1933778798">
    <w:abstractNumId w:val="3"/>
  </w:num>
  <w:num w:numId="10" w16cid:durableId="1380468970">
    <w:abstractNumId w:val="8"/>
  </w:num>
  <w:num w:numId="11" w16cid:durableId="1338726897">
    <w:abstractNumId w:val="5"/>
  </w:num>
  <w:num w:numId="12" w16cid:durableId="151453990">
    <w:abstractNumId w:val="9"/>
  </w:num>
  <w:num w:numId="13" w16cid:durableId="1987780726">
    <w:abstractNumId w:val="5"/>
  </w:num>
  <w:num w:numId="14" w16cid:durableId="1547981903">
    <w:abstractNumId w:val="5"/>
  </w:num>
  <w:num w:numId="15" w16cid:durableId="87847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427E"/>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2758"/>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4A49"/>
    <w:rsid w:val="000F57E6"/>
    <w:rsid w:val="000F61D2"/>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0F50"/>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1804"/>
    <w:rsid w:val="00193BEB"/>
    <w:rsid w:val="00195606"/>
    <w:rsid w:val="0019641E"/>
    <w:rsid w:val="001964AD"/>
    <w:rsid w:val="00197677"/>
    <w:rsid w:val="0019770C"/>
    <w:rsid w:val="00197A16"/>
    <w:rsid w:val="001A0DA1"/>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574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2A6B"/>
    <w:rsid w:val="001F3899"/>
    <w:rsid w:val="001F3A2A"/>
    <w:rsid w:val="001F40DA"/>
    <w:rsid w:val="001F4437"/>
    <w:rsid w:val="001F4AA2"/>
    <w:rsid w:val="001F5AE4"/>
    <w:rsid w:val="00202809"/>
    <w:rsid w:val="00202EBA"/>
    <w:rsid w:val="0020332E"/>
    <w:rsid w:val="00204058"/>
    <w:rsid w:val="00206AC9"/>
    <w:rsid w:val="00206D36"/>
    <w:rsid w:val="00207AEF"/>
    <w:rsid w:val="002121F8"/>
    <w:rsid w:val="00213F33"/>
    <w:rsid w:val="002141DF"/>
    <w:rsid w:val="002146E6"/>
    <w:rsid w:val="002151DC"/>
    <w:rsid w:val="00224C02"/>
    <w:rsid w:val="0022587F"/>
    <w:rsid w:val="00226598"/>
    <w:rsid w:val="00230ABF"/>
    <w:rsid w:val="00231097"/>
    <w:rsid w:val="002310FD"/>
    <w:rsid w:val="002320AD"/>
    <w:rsid w:val="002325C9"/>
    <w:rsid w:val="002346E1"/>
    <w:rsid w:val="00236167"/>
    <w:rsid w:val="00237D24"/>
    <w:rsid w:val="00240680"/>
    <w:rsid w:val="0024380A"/>
    <w:rsid w:val="00243E96"/>
    <w:rsid w:val="00244D51"/>
    <w:rsid w:val="0024527F"/>
    <w:rsid w:val="002476DF"/>
    <w:rsid w:val="002506DB"/>
    <w:rsid w:val="00251F94"/>
    <w:rsid w:val="002520BE"/>
    <w:rsid w:val="002534E3"/>
    <w:rsid w:val="00254DDF"/>
    <w:rsid w:val="002566F5"/>
    <w:rsid w:val="002576AF"/>
    <w:rsid w:val="00261B9B"/>
    <w:rsid w:val="002662EA"/>
    <w:rsid w:val="00270A60"/>
    <w:rsid w:val="00270BBE"/>
    <w:rsid w:val="00273402"/>
    <w:rsid w:val="00275838"/>
    <w:rsid w:val="00276980"/>
    <w:rsid w:val="002824BD"/>
    <w:rsid w:val="002831F2"/>
    <w:rsid w:val="00284D9A"/>
    <w:rsid w:val="002857AD"/>
    <w:rsid w:val="002863EA"/>
    <w:rsid w:val="00294890"/>
    <w:rsid w:val="00297C64"/>
    <w:rsid w:val="002A0575"/>
    <w:rsid w:val="002A2B21"/>
    <w:rsid w:val="002A3337"/>
    <w:rsid w:val="002A58B4"/>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1CAE"/>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2891"/>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0B17"/>
    <w:rsid w:val="00392953"/>
    <w:rsid w:val="003934F9"/>
    <w:rsid w:val="003941DC"/>
    <w:rsid w:val="00394E3C"/>
    <w:rsid w:val="00395C50"/>
    <w:rsid w:val="00395D64"/>
    <w:rsid w:val="003978A1"/>
    <w:rsid w:val="003978A7"/>
    <w:rsid w:val="00397A53"/>
    <w:rsid w:val="003A0B6F"/>
    <w:rsid w:val="003A39DA"/>
    <w:rsid w:val="003A5F3F"/>
    <w:rsid w:val="003B19D0"/>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07D"/>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677FE"/>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17F88"/>
    <w:rsid w:val="005205CC"/>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67C49"/>
    <w:rsid w:val="005713E5"/>
    <w:rsid w:val="00573ED7"/>
    <w:rsid w:val="00574821"/>
    <w:rsid w:val="00576173"/>
    <w:rsid w:val="00576D6A"/>
    <w:rsid w:val="00576E29"/>
    <w:rsid w:val="005817C2"/>
    <w:rsid w:val="005830FE"/>
    <w:rsid w:val="0058356A"/>
    <w:rsid w:val="00583922"/>
    <w:rsid w:val="00584E21"/>
    <w:rsid w:val="00585378"/>
    <w:rsid w:val="00586D9A"/>
    <w:rsid w:val="00591C44"/>
    <w:rsid w:val="005974C9"/>
    <w:rsid w:val="005A0107"/>
    <w:rsid w:val="005A0143"/>
    <w:rsid w:val="005A06D9"/>
    <w:rsid w:val="005A0D74"/>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656"/>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1641D"/>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3E1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3874"/>
    <w:rsid w:val="007D5A33"/>
    <w:rsid w:val="007D6E51"/>
    <w:rsid w:val="007D7883"/>
    <w:rsid w:val="007E081F"/>
    <w:rsid w:val="007E3B48"/>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43C"/>
    <w:rsid w:val="00810573"/>
    <w:rsid w:val="008124BE"/>
    <w:rsid w:val="00812598"/>
    <w:rsid w:val="0081275C"/>
    <w:rsid w:val="00813E3D"/>
    <w:rsid w:val="00816A92"/>
    <w:rsid w:val="00820BA3"/>
    <w:rsid w:val="00822B5F"/>
    <w:rsid w:val="00822FE3"/>
    <w:rsid w:val="00823B39"/>
    <w:rsid w:val="00823CD6"/>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673B"/>
    <w:rsid w:val="0085773E"/>
    <w:rsid w:val="0085784A"/>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5271"/>
    <w:rsid w:val="008C714F"/>
    <w:rsid w:val="008D2EF9"/>
    <w:rsid w:val="008D6407"/>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297E"/>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189"/>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1D1A"/>
    <w:rsid w:val="00A5225C"/>
    <w:rsid w:val="00A56259"/>
    <w:rsid w:val="00A569EE"/>
    <w:rsid w:val="00A61C2E"/>
    <w:rsid w:val="00A63D88"/>
    <w:rsid w:val="00A64248"/>
    <w:rsid w:val="00A6499A"/>
    <w:rsid w:val="00A67918"/>
    <w:rsid w:val="00A7034F"/>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076"/>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ADE"/>
    <w:rsid w:val="00B57D21"/>
    <w:rsid w:val="00B62FB7"/>
    <w:rsid w:val="00B63CC9"/>
    <w:rsid w:val="00B65E55"/>
    <w:rsid w:val="00B6713C"/>
    <w:rsid w:val="00B70E3B"/>
    <w:rsid w:val="00B71F58"/>
    <w:rsid w:val="00B72A7B"/>
    <w:rsid w:val="00B74CFF"/>
    <w:rsid w:val="00B75D9A"/>
    <w:rsid w:val="00B766A9"/>
    <w:rsid w:val="00B76854"/>
    <w:rsid w:val="00B768F0"/>
    <w:rsid w:val="00B823FD"/>
    <w:rsid w:val="00B83EC9"/>
    <w:rsid w:val="00B84E3D"/>
    <w:rsid w:val="00B84EB1"/>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BF3"/>
    <w:rsid w:val="00BD4E3D"/>
    <w:rsid w:val="00BD51B3"/>
    <w:rsid w:val="00BD5E6C"/>
    <w:rsid w:val="00BD7362"/>
    <w:rsid w:val="00BE0360"/>
    <w:rsid w:val="00BE07D4"/>
    <w:rsid w:val="00BE1793"/>
    <w:rsid w:val="00BE664E"/>
    <w:rsid w:val="00BE6AF8"/>
    <w:rsid w:val="00BF002F"/>
    <w:rsid w:val="00BF0EE1"/>
    <w:rsid w:val="00BF32E1"/>
    <w:rsid w:val="00BF5E6D"/>
    <w:rsid w:val="00C00556"/>
    <w:rsid w:val="00C006B6"/>
    <w:rsid w:val="00C00E9D"/>
    <w:rsid w:val="00C01471"/>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353D"/>
    <w:rsid w:val="00C8706F"/>
    <w:rsid w:val="00C90637"/>
    <w:rsid w:val="00C91E7E"/>
    <w:rsid w:val="00C94B54"/>
    <w:rsid w:val="00C94F32"/>
    <w:rsid w:val="00C95400"/>
    <w:rsid w:val="00C95E29"/>
    <w:rsid w:val="00C95F04"/>
    <w:rsid w:val="00C96FF5"/>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2F33"/>
    <w:rsid w:val="00D44403"/>
    <w:rsid w:val="00D4544B"/>
    <w:rsid w:val="00D45569"/>
    <w:rsid w:val="00D45820"/>
    <w:rsid w:val="00D47613"/>
    <w:rsid w:val="00D4788D"/>
    <w:rsid w:val="00D526BC"/>
    <w:rsid w:val="00D528DA"/>
    <w:rsid w:val="00D52EF5"/>
    <w:rsid w:val="00D534AA"/>
    <w:rsid w:val="00D557AC"/>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580"/>
    <w:rsid w:val="00DE6F68"/>
    <w:rsid w:val="00DE735E"/>
    <w:rsid w:val="00DF34DF"/>
    <w:rsid w:val="00DF37C1"/>
    <w:rsid w:val="00DF3BA7"/>
    <w:rsid w:val="00DF429A"/>
    <w:rsid w:val="00E03305"/>
    <w:rsid w:val="00E033A2"/>
    <w:rsid w:val="00E03590"/>
    <w:rsid w:val="00E0370C"/>
    <w:rsid w:val="00E03E58"/>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E46"/>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674"/>
    <w:rsid w:val="00ED192A"/>
    <w:rsid w:val="00ED3A12"/>
    <w:rsid w:val="00ED3C70"/>
    <w:rsid w:val="00ED652C"/>
    <w:rsid w:val="00ED75A2"/>
    <w:rsid w:val="00EE248B"/>
    <w:rsid w:val="00EE470F"/>
    <w:rsid w:val="00EE4800"/>
    <w:rsid w:val="00EE5C43"/>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022C"/>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0CB0"/>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4F60"/>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 w:type="character" w:styleId="UnresolvedMention">
    <w:name w:val="Unresolved Mention"/>
    <w:basedOn w:val="DefaultParagraphFont"/>
    <w:uiPriority w:val="99"/>
    <w:semiHidden/>
    <w:unhideWhenUsed/>
    <w:rsid w:val="007E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792138357">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248491128">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786382034">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4526179515B54B9309A88D57668342" ma:contentTypeVersion="15" ma:contentTypeDescription="Create a new document." ma:contentTypeScope="" ma:versionID="88e4ad961555ea9898cf42ff318f71fc">
  <xsd:schema xmlns:xsd="http://www.w3.org/2001/XMLSchema" xmlns:xs="http://www.w3.org/2001/XMLSchema" xmlns:p="http://schemas.microsoft.com/office/2006/metadata/properties" xmlns:ns2="dafd82cf-194b-4c1b-8963-7af51c1c56d6" xmlns:ns3="80b11534-b414-482c-8e29-72189cb35929" targetNamespace="http://schemas.microsoft.com/office/2006/metadata/properties" ma:root="true" ma:fieldsID="b8f13a600376125d2fb56f5c0d958f0d" ns2:_="" ns3:_="">
    <xsd:import namespace="dafd82cf-194b-4c1b-8963-7af51c1c56d6"/>
    <xsd:import namespace="80b11534-b414-482c-8e29-72189cb35929"/>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82cf-194b-4c1b-8963-7af51c1c56d6" elementFormDefault="qualified">
    <xsd:import namespace="http://schemas.microsoft.com/office/2006/documentManagement/types"/>
    <xsd:import namespace="http://schemas.microsoft.com/office/infopath/2007/PartnerControls"/>
    <xsd:element name="MigrationSourceURL" ma:index="4" nillable="true" ma:displayName="MigrationSourceURL" ma:internalName="MigrationSourceURL"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6b8165-2ab5-4f5c-8d84-7a291cca6a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11534-b414-482c-8e29-72189cb35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70cc21-b33d-491b-941d-868a21d56afb}" ma:internalName="TaxCatchAll" ma:showField="CatchAllData" ma:web="80b11534-b414-482c-8e29-72189cb3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fd82cf-194b-4c1b-8963-7af51c1c56d6">
      <Terms xmlns="http://schemas.microsoft.com/office/infopath/2007/PartnerControls"/>
    </lcf76f155ced4ddcb4097134ff3c332f>
    <MigrationSourceURL xmlns="dafd82cf-194b-4c1b-8963-7af51c1c56d6" xsi:nil="true"/>
    <TaxCatchAll xmlns="80b11534-b414-482c-8e29-72189cb35929" xsi:nil="true"/>
  </documentManagement>
</p:properties>
</file>

<file path=customXml/itemProps1.xml><?xml version="1.0" encoding="utf-8"?>
<ds:datastoreItem xmlns:ds="http://schemas.openxmlformats.org/officeDocument/2006/customXml" ds:itemID="{CBF38D73-DCE3-4F93-B9C1-8FAF0865EC58}">
  <ds:schemaRefs>
    <ds:schemaRef ds:uri="http://schemas.openxmlformats.org/officeDocument/2006/bibliography"/>
  </ds:schemaRefs>
</ds:datastoreItem>
</file>

<file path=customXml/itemProps2.xml><?xml version="1.0" encoding="utf-8"?>
<ds:datastoreItem xmlns:ds="http://schemas.openxmlformats.org/officeDocument/2006/customXml" ds:itemID="{74B80BC1-A967-456C-8255-9A2AFB8B5D82}">
  <ds:schemaRefs>
    <ds:schemaRef ds:uri="http://schemas.openxmlformats.org/officeDocument/2006/bibliography"/>
  </ds:schemaRefs>
</ds:datastoreItem>
</file>

<file path=customXml/itemProps3.xml><?xml version="1.0" encoding="utf-8"?>
<ds:datastoreItem xmlns:ds="http://schemas.openxmlformats.org/officeDocument/2006/customXml" ds:itemID="{19B3877D-24C5-4AB8-A185-5263F65B2942}"/>
</file>

<file path=customXml/itemProps4.xml><?xml version="1.0" encoding="utf-8"?>
<ds:datastoreItem xmlns:ds="http://schemas.openxmlformats.org/officeDocument/2006/customXml" ds:itemID="{81F03624-84B4-4E79-9151-9C695466E841}"/>
</file>

<file path=customXml/itemProps5.xml><?xml version="1.0" encoding="utf-8"?>
<ds:datastoreItem xmlns:ds="http://schemas.openxmlformats.org/officeDocument/2006/customXml" ds:itemID="{68CF9683-05A3-4F1A-9A71-6CB88E564603}"/>
</file>

<file path=docProps/app.xml><?xml version="1.0" encoding="utf-8"?>
<Properties xmlns="http://schemas.openxmlformats.org/officeDocument/2006/extended-properties" xmlns:vt="http://schemas.openxmlformats.org/officeDocument/2006/docPropsVTypes">
  <Template>Normal</Template>
  <TotalTime>7</TotalTime>
  <Pages>11</Pages>
  <Words>2875</Words>
  <Characters>15579</Characters>
  <Application>Microsoft Office Word</Application>
  <DocSecurity>0</DocSecurity>
  <Lines>457</Lines>
  <Paragraphs>173</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18347</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Woodruff, Natalie</cp:lastModifiedBy>
  <cp:revision>5</cp:revision>
  <cp:lastPrinted>2025-04-29T16:39:00Z</cp:lastPrinted>
  <dcterms:created xsi:type="dcterms:W3CDTF">2025-07-03T13:19:00Z</dcterms:created>
  <dcterms:modified xsi:type="dcterms:W3CDTF">2025-07-03T14:20:00Z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0x0101007D4526179515B54B9309A88D57668342</vt:lpwstr>
  </property>
</Properties>
</file>